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93B01" w14:textId="662EBC81" w:rsidR="004E2ABD" w:rsidRPr="00D97E28" w:rsidRDefault="000E2EC5" w:rsidP="004E2ABD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4E2ABD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DF7F6C" w:rsidRPr="008331DE">
        <w:rPr>
          <w:b/>
          <w:sz w:val="24"/>
          <w:szCs w:val="24"/>
          <w:u w:val="single"/>
        </w:rPr>
        <w:t xml:space="preserve">TÉCNICO JUDICIAL </w:t>
      </w:r>
      <w:r w:rsidR="004E2ABD"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3E873517" w14:textId="18628FBD" w:rsidR="00E9373C" w:rsidRDefault="00E9373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r w:rsidRPr="00E9373C">
        <w:rPr>
          <w:rFonts w:ascii="Times New Roman"/>
          <w:color w:val="0000FF"/>
          <w:u w:val="single" w:color="0000FF"/>
        </w:rPr>
        <w:t>https://www.poderjudicialyucatan.gob.mx/digestum/marcoLegal/03/2012/DIGESTUM03007.pdf</w:t>
      </w:r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7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33D2C335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373C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" filled="f" stroked="f">
              <v:textbox inset="0,0,0,0">
                <w:txbxContent>
                  <w:p w14:paraId="7590391F" w14:textId="33D2C335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9373C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48D"/>
    <w:rsid w:val="00055673"/>
    <w:rsid w:val="00080AE7"/>
    <w:rsid w:val="000E2EC5"/>
    <w:rsid w:val="000F00B1"/>
    <w:rsid w:val="00180675"/>
    <w:rsid w:val="00206989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B41E0"/>
    <w:rsid w:val="008331DE"/>
    <w:rsid w:val="008659DE"/>
    <w:rsid w:val="009B130A"/>
    <w:rsid w:val="009B21DC"/>
    <w:rsid w:val="009C4621"/>
    <w:rsid w:val="00A220F1"/>
    <w:rsid w:val="00A367DB"/>
    <w:rsid w:val="00A6348D"/>
    <w:rsid w:val="00A63DDC"/>
    <w:rsid w:val="00B06435"/>
    <w:rsid w:val="00B72793"/>
    <w:rsid w:val="00BD3599"/>
    <w:rsid w:val="00BF1B63"/>
    <w:rsid w:val="00C22F4C"/>
    <w:rsid w:val="00CE7B1D"/>
    <w:rsid w:val="00D23B17"/>
    <w:rsid w:val="00DF7F6C"/>
    <w:rsid w:val="00E9373C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4</cp:revision>
  <dcterms:created xsi:type="dcterms:W3CDTF">2023-11-09T22:01:00Z</dcterms:created>
  <dcterms:modified xsi:type="dcterms:W3CDTF">2023-12-14T13:15:00Z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