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0CAF" w14:textId="71C45930" w:rsidR="00747A26" w:rsidRPr="00300B1B" w:rsidRDefault="00747A26" w:rsidP="00747A2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5F55CA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23DDCDB" w14:textId="77777777" w:rsidR="00752C99" w:rsidRPr="00E508ED" w:rsidRDefault="00752C99" w:rsidP="00752C99">
      <w:pPr>
        <w:spacing w:before="74"/>
        <w:ind w:left="628" w:right="520" w:firstLine="1399"/>
        <w:jc w:val="center"/>
        <w:rPr>
          <w:rFonts w:ascii="Arial"/>
          <w:b/>
          <w:iCs/>
        </w:rPr>
      </w:pPr>
    </w:p>
    <w:p w14:paraId="4A4EA64F" w14:textId="77777777" w:rsidR="00752C99" w:rsidRPr="00671B28" w:rsidRDefault="00752C99" w:rsidP="00752C99">
      <w:pPr>
        <w:spacing w:line="248" w:lineRule="exact"/>
        <w:ind w:left="28"/>
        <w:rPr>
          <w:rFonts w:ascii="Arial" w:hAnsi="Arial"/>
          <w:b/>
          <w:sz w:val="24"/>
          <w:szCs w:val="24"/>
        </w:rPr>
      </w:pPr>
      <w:r w:rsidRPr="00671B28">
        <w:rPr>
          <w:rFonts w:ascii="Arial" w:hAnsi="Arial"/>
          <w:b/>
          <w:sz w:val="24"/>
          <w:szCs w:val="24"/>
          <w:u w:val="thick"/>
        </w:rPr>
        <w:t>LEY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RESPONSABILIDADES</w:t>
      </w:r>
      <w:r w:rsidRPr="00671B28">
        <w:rPr>
          <w:rFonts w:ascii="Arial" w:hAnsi="Arial"/>
          <w:b/>
          <w:spacing w:val="-2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ADMINISTRATIVAS</w:t>
      </w:r>
      <w:r w:rsidRPr="00671B28">
        <w:rPr>
          <w:rFonts w:ascii="Arial" w:hAnsi="Arial"/>
          <w:b/>
          <w:spacing w:val="-4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DEL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ESTADO</w:t>
      </w:r>
      <w:r w:rsidRPr="00671B28">
        <w:rPr>
          <w:rFonts w:ascii="Arial" w:hAnsi="Arial"/>
          <w:b/>
          <w:spacing w:val="-3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1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YUCATÁN</w:t>
      </w:r>
    </w:p>
    <w:p w14:paraId="4A0C8A64" w14:textId="5E25EAAE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</w:p>
    <w:p w14:paraId="6FA8F292" w14:textId="075BA78C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  <w:r w:rsidRPr="00915722"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  <w:t>https://www.poderjudicialyucatan.gob.mx/digestum/marcoLegal/02/2017/DIGESTUM02354.pdf</w:t>
      </w:r>
    </w:p>
    <w:p w14:paraId="629B625E" w14:textId="77777777" w:rsidR="00752C99" w:rsidRPr="00671B28" w:rsidRDefault="00752C99" w:rsidP="00752C99">
      <w:pPr>
        <w:pStyle w:val="Textoindependiente"/>
        <w:spacing w:before="1"/>
        <w:rPr>
          <w:rFonts w:ascii="Arial"/>
          <w:b/>
          <w:i/>
          <w:sz w:val="20"/>
        </w:rPr>
      </w:pPr>
    </w:p>
    <w:p w14:paraId="7E199F43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37FFDBDB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6DA2269D" w14:textId="77777777" w:rsidR="00752C99" w:rsidRPr="00C748C7" w:rsidRDefault="00752C99" w:rsidP="00752C99">
      <w:pPr>
        <w:pStyle w:val="Prrafodelista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DISPOSICIONES GENERALES.</w:t>
      </w:r>
    </w:p>
    <w:p w14:paraId="00B04EDF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Objeto, Ámbito de Aplicación y Sujetos de la Ley</w:t>
      </w:r>
      <w:r>
        <w:rPr>
          <w:rFonts w:ascii="Arial" w:hAnsi="Arial" w:cs="Arial"/>
          <w:sz w:val="24"/>
          <w:szCs w:val="24"/>
        </w:rPr>
        <w:t>.</w:t>
      </w:r>
    </w:p>
    <w:p w14:paraId="06CE81FA" w14:textId="5363D8A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1.</w:t>
      </w:r>
    </w:p>
    <w:p w14:paraId="3B5D19CE" w14:textId="14F6D8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2.</w:t>
      </w:r>
    </w:p>
    <w:p w14:paraId="7DB3CBD6" w14:textId="3643870D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3.</w:t>
      </w:r>
    </w:p>
    <w:p w14:paraId="759FCAB9" w14:textId="2956768A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4.</w:t>
      </w:r>
    </w:p>
    <w:p w14:paraId="0E311053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Principios y directrices que rigen la actuación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0B4BF009" w14:textId="750E4740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5. </w:t>
      </w:r>
    </w:p>
    <w:p w14:paraId="7B443F5D" w14:textId="7808BF41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6. </w:t>
      </w:r>
    </w:p>
    <w:p w14:paraId="043FD889" w14:textId="286E3F0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7. </w:t>
      </w:r>
    </w:p>
    <w:p w14:paraId="2062BC17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Autoridades competentes para aplicar la presente Ley</w:t>
      </w:r>
      <w:r>
        <w:rPr>
          <w:rFonts w:ascii="Arial" w:hAnsi="Arial" w:cs="Arial"/>
          <w:sz w:val="24"/>
          <w:szCs w:val="24"/>
        </w:rPr>
        <w:t>.</w:t>
      </w:r>
    </w:p>
    <w:p w14:paraId="06D67A4D" w14:textId="2875BDF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8. </w:t>
      </w:r>
    </w:p>
    <w:p w14:paraId="6D1E9B6F" w14:textId="5D5DBEF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9. </w:t>
      </w:r>
    </w:p>
    <w:p w14:paraId="4A3DEBC2" w14:textId="5622240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10. </w:t>
      </w:r>
    </w:p>
    <w:p w14:paraId="448A43D3" w14:textId="39489309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11. </w:t>
      </w:r>
    </w:p>
    <w:p w14:paraId="0758C109" w14:textId="4BDE7F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12. </w:t>
      </w:r>
    </w:p>
    <w:p w14:paraId="72F21F67" w14:textId="15C0BD82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13. </w:t>
      </w:r>
    </w:p>
    <w:p w14:paraId="4DABA7E8" w14:textId="7E55D55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14. </w:t>
      </w:r>
    </w:p>
    <w:p w14:paraId="4D5541ED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1224" w:firstLine="0"/>
        <w:contextualSpacing/>
        <w:rPr>
          <w:rFonts w:ascii="Arial" w:hAnsi="Arial" w:cs="Arial"/>
          <w:sz w:val="24"/>
          <w:szCs w:val="24"/>
        </w:rPr>
      </w:pPr>
    </w:p>
    <w:p w14:paraId="5ACF085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882BD8">
        <w:rPr>
          <w:rFonts w:ascii="Arial" w:hAnsi="Arial" w:cs="Arial"/>
          <w:b/>
          <w:sz w:val="24"/>
          <w:szCs w:val="24"/>
          <w:highlight w:val="lightGray"/>
        </w:rPr>
        <w:t>MECANISMOS DE PREVENCIÓN E INSTRUMENTOS DE RENDICIÓN DE CUENTAS.</w:t>
      </w:r>
    </w:p>
    <w:p w14:paraId="538023B6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Mecanismos Generales de Prevención.</w:t>
      </w:r>
    </w:p>
    <w:p w14:paraId="75E6CDBD" w14:textId="720A357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15. </w:t>
      </w:r>
    </w:p>
    <w:p w14:paraId="326FB696" w14:textId="0CBFBDF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16. </w:t>
      </w:r>
    </w:p>
    <w:p w14:paraId="02BC53C4" w14:textId="32E87465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17. </w:t>
      </w:r>
    </w:p>
    <w:p w14:paraId="0DE62D52" w14:textId="5000E6EB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18. </w:t>
      </w:r>
    </w:p>
    <w:p w14:paraId="52654F39" w14:textId="249D413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19. </w:t>
      </w:r>
    </w:p>
    <w:p w14:paraId="139D238A" w14:textId="249D4133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los instrumentos de rendición de cuentas</w:t>
      </w:r>
      <w:r>
        <w:rPr>
          <w:rFonts w:ascii="Arial" w:hAnsi="Arial" w:cs="Arial"/>
          <w:sz w:val="24"/>
          <w:szCs w:val="24"/>
        </w:rPr>
        <w:t>.</w:t>
      </w:r>
    </w:p>
    <w:p w14:paraId="0E6912D8" w14:textId="3BA4845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Primera. Del sistema de evolución patrimonial, de declaración de intereses y constancia de pre</w:t>
      </w:r>
      <w:r>
        <w:rPr>
          <w:rFonts w:ascii="Arial" w:hAnsi="Arial" w:cs="Arial"/>
          <w:sz w:val="24"/>
          <w:szCs w:val="24"/>
        </w:rPr>
        <w:t>sentación de declaración fiscal.</w:t>
      </w:r>
      <w:r w:rsidRPr="00D84192">
        <w:rPr>
          <w:rFonts w:ascii="Arial" w:hAnsi="Arial" w:cs="Arial"/>
          <w:sz w:val="24"/>
          <w:szCs w:val="24"/>
        </w:rPr>
        <w:cr/>
      </w:r>
      <w:r w:rsidRPr="00D84192">
        <w:t xml:space="preserve"> </w:t>
      </w:r>
      <w:r w:rsidRPr="00D84192">
        <w:rPr>
          <w:rFonts w:ascii="Arial" w:hAnsi="Arial" w:cs="Arial"/>
          <w:sz w:val="24"/>
          <w:szCs w:val="24"/>
        </w:rPr>
        <w:t>Sección Segunda</w:t>
      </w:r>
      <w:r>
        <w:rPr>
          <w:rFonts w:ascii="Arial" w:hAnsi="Arial" w:cs="Arial"/>
          <w:sz w:val="24"/>
          <w:szCs w:val="24"/>
        </w:rPr>
        <w:t>.</w:t>
      </w:r>
    </w:p>
    <w:p w14:paraId="31760813" w14:textId="3A566649" w:rsidR="00752C99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22.</w:t>
      </w:r>
    </w:p>
    <w:p w14:paraId="29808E62" w14:textId="413D9797" w:rsidR="00752C99" w:rsidRPr="00D84192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</w:t>
      </w:r>
      <w:r w:rsidR="00DD4E4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14:paraId="6DD83F9F" w14:textId="176D4EC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24.</w:t>
      </w:r>
    </w:p>
    <w:p w14:paraId="52D89F2D" w14:textId="1FA6D1C6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25.</w:t>
      </w:r>
    </w:p>
    <w:p w14:paraId="36E2DC50" w14:textId="787D1EF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Artículo 26.</w:t>
      </w:r>
    </w:p>
    <w:p w14:paraId="1F9EC88D" w14:textId="5D09FC9B" w:rsidR="00752C99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27.</w:t>
      </w:r>
    </w:p>
    <w:p w14:paraId="7004944D" w14:textId="40924AC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 xml:space="preserve">Sección </w:t>
      </w:r>
      <w:r>
        <w:rPr>
          <w:rFonts w:ascii="Arial" w:hAnsi="Arial" w:cs="Arial"/>
          <w:sz w:val="24"/>
          <w:szCs w:val="24"/>
        </w:rPr>
        <w:t xml:space="preserve">segunda.  </w:t>
      </w:r>
      <w:r w:rsidRPr="00D84192">
        <w:rPr>
          <w:rFonts w:ascii="Arial" w:hAnsi="Arial" w:cs="Arial"/>
          <w:sz w:val="24"/>
          <w:szCs w:val="24"/>
        </w:rPr>
        <w:t>De los sujetos obligados a presentar declaración patrimonial y de interés</w:t>
      </w:r>
      <w:r>
        <w:rPr>
          <w:rFonts w:ascii="Arial" w:hAnsi="Arial" w:cs="Arial"/>
          <w:sz w:val="24"/>
          <w:szCs w:val="24"/>
        </w:rPr>
        <w:t>.</w:t>
      </w:r>
    </w:p>
    <w:p w14:paraId="3E835BDE" w14:textId="1FBDAC0C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28.</w:t>
      </w:r>
    </w:p>
    <w:p w14:paraId="474BB59E" w14:textId="39BF9EF4" w:rsidR="00DD4E4F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29.</w:t>
      </w:r>
    </w:p>
    <w:p w14:paraId="7ABA31C6" w14:textId="632CA92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tercera. Plazos y mecanismos de registro al sistema de evolución patrimonial, de declaración de intereses y constancia de presentación de declaración fiscal.</w:t>
      </w:r>
    </w:p>
    <w:p w14:paraId="1175FB98" w14:textId="4019F7D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30.</w:t>
      </w:r>
    </w:p>
    <w:p w14:paraId="12B3EBB9" w14:textId="10FB72B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31.</w:t>
      </w:r>
    </w:p>
    <w:p w14:paraId="7F7FB77E" w14:textId="633A4E5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32.</w:t>
      </w:r>
    </w:p>
    <w:p w14:paraId="0310AA8D" w14:textId="1FD7874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33.</w:t>
      </w:r>
    </w:p>
    <w:p w14:paraId="04B09813" w14:textId="327C2E3A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34.</w:t>
      </w:r>
    </w:p>
    <w:p w14:paraId="23AFC4CB" w14:textId="44ADA21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35.</w:t>
      </w:r>
    </w:p>
    <w:p w14:paraId="6C5FF20A" w14:textId="7A8AD80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36.</w:t>
      </w:r>
    </w:p>
    <w:p w14:paraId="6EFF0F68" w14:textId="651A2A0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37.</w:t>
      </w:r>
    </w:p>
    <w:p w14:paraId="751E6248" w14:textId="260A8D8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38.</w:t>
      </w:r>
    </w:p>
    <w:p w14:paraId="5FB77F0F" w14:textId="2A0E06C1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39.</w:t>
      </w:r>
    </w:p>
    <w:p w14:paraId="34FD2BE4" w14:textId="750469D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40.</w:t>
      </w:r>
    </w:p>
    <w:p w14:paraId="455E77CA" w14:textId="41C9466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41.</w:t>
      </w:r>
    </w:p>
    <w:p w14:paraId="436193F5" w14:textId="0221D0E5" w:rsidR="00DD4E4F" w:rsidRPr="00704B45" w:rsidRDefault="00DD4E4F" w:rsidP="00704B45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42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54147708" w14:textId="1911EBE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sexta. De la declaración de intereses</w:t>
      </w:r>
      <w:r>
        <w:rPr>
          <w:rFonts w:ascii="Arial" w:hAnsi="Arial" w:cs="Arial"/>
          <w:sz w:val="24"/>
          <w:szCs w:val="24"/>
        </w:rPr>
        <w:t>.</w:t>
      </w:r>
    </w:p>
    <w:p w14:paraId="5F94BE6F" w14:textId="7F12578B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48.</w:t>
      </w:r>
    </w:p>
    <w:p w14:paraId="7DB56667" w14:textId="2467579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49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2B97B4D0" w14:textId="66578B00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50.</w:t>
      </w:r>
    </w:p>
    <w:p w14:paraId="477C667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1728" w:firstLine="0"/>
        <w:contextualSpacing/>
        <w:rPr>
          <w:rFonts w:ascii="Arial" w:hAnsi="Arial" w:cs="Arial"/>
          <w:sz w:val="24"/>
          <w:szCs w:val="24"/>
        </w:rPr>
      </w:pPr>
    </w:p>
    <w:p w14:paraId="302762B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DE LAS FALTAS ADMINISTRATIVAS DE LOS SERVIDORES PÚBLICOS Y ACTOS DE PARTICULARES VINCULADOS CON FALTAS ADMINISTRATIVAS GRAVES.</w:t>
      </w:r>
    </w:p>
    <w:p w14:paraId="72030D80" w14:textId="292FC19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no graves de los servidores públicos.</w:t>
      </w:r>
    </w:p>
    <w:p w14:paraId="534A4915" w14:textId="5199726F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6C7EE7C" w14:textId="794C5F67" w:rsid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1F4E284" w14:textId="06339A38" w:rsidR="00FB36E5" w:rsidRPr="00FB36E5" w:rsidRDefault="00FB36E5" w:rsidP="00FB36E5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graves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2DB71E93" w14:textId="68435F1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81E6C7" w14:textId="700CDA6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751C53A0" w14:textId="5FB9282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F85F84A" w14:textId="4E958E27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39F685F" w14:textId="46162B71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7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67D9088" w14:textId="1626E58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8</w:t>
      </w:r>
      <w:r w:rsidRPr="007420D1">
        <w:rPr>
          <w:rFonts w:ascii="Arial" w:hAnsi="Arial" w:cs="Arial"/>
          <w:sz w:val="24"/>
          <w:szCs w:val="24"/>
        </w:rPr>
        <w:t>.</w:t>
      </w:r>
    </w:p>
    <w:p w14:paraId="61A14491" w14:textId="34E25B9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9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BFDE979" w14:textId="242E66FC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0.</w:t>
      </w:r>
    </w:p>
    <w:p w14:paraId="334F75DC" w14:textId="7589B0DE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BB45423" w14:textId="15F4C56A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16066A9" w14:textId="22FBA492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20CA4BD" w14:textId="375B1E94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lastRenderedPageBreak/>
        <w:t xml:space="preserve">Artículo </w:t>
      </w:r>
      <w:r>
        <w:rPr>
          <w:rFonts w:ascii="Arial" w:hAnsi="Arial" w:cs="Arial"/>
          <w:sz w:val="24"/>
          <w:szCs w:val="24"/>
        </w:rPr>
        <w:t>64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65FF996" w14:textId="0F7B7B77" w:rsid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12FB3A73" w14:textId="388BAA87" w:rsidR="007420D1" w:rsidRPr="00FB36E5" w:rsidRDefault="007420D1" w:rsidP="00FB36E5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BCA367" w14:textId="59F231D9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 prescripción de la responsabilidad administrativa</w:t>
      </w:r>
      <w:r>
        <w:rPr>
          <w:rFonts w:ascii="Arial" w:hAnsi="Arial" w:cs="Arial"/>
          <w:sz w:val="24"/>
          <w:szCs w:val="24"/>
        </w:rPr>
        <w:t>.</w:t>
      </w:r>
    </w:p>
    <w:p w14:paraId="3B6F3111" w14:textId="0A74413F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7C915" w14:textId="77777777" w:rsidR="00704B45" w:rsidRPr="00FB36E5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4FD5776A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SANCIONES.</w:t>
      </w:r>
    </w:p>
    <w:p w14:paraId="4B5304E9" w14:textId="40A51DA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por faltas administrativas no graves.</w:t>
      </w:r>
    </w:p>
    <w:p w14:paraId="057B80CA" w14:textId="208959E3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77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4FBDE6B" w14:textId="5916BF5C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78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CF12F" w14:textId="01EEC77A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79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34226BC" w14:textId="06FA24E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80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9621D14" w14:textId="299C86B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81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4A145C" w14:textId="5AC02661" w:rsidR="00FB36E5" w:rsidRPr="006210CB" w:rsidRDefault="00FB36E5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AF02B98" w14:textId="188D2E02" w:rsidR="00752C99" w:rsidRDefault="00752C99" w:rsidP="00752C99">
      <w:pPr>
        <w:pStyle w:val="Prrafodelist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para los servidores públicos por Faltas Graves</w:t>
      </w:r>
      <w:r>
        <w:rPr>
          <w:rFonts w:ascii="Arial" w:hAnsi="Arial" w:cs="Arial"/>
          <w:sz w:val="24"/>
          <w:szCs w:val="24"/>
        </w:rPr>
        <w:t>.</w:t>
      </w:r>
    </w:p>
    <w:p w14:paraId="1F545D82" w14:textId="7777777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34C476E" w14:textId="0BA5DF3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83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3DE72CC" w14:textId="0A2B14FF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84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8F86AF" w14:textId="42F9882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85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B2AC33D" w14:textId="44E9F123" w:rsid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DD4A2A1" w14:textId="77777777" w:rsidR="00704B45" w:rsidRPr="006210CB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7AC554F6" w14:textId="77777777" w:rsidR="00752C99" w:rsidRPr="00365156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Impugnación de la calificación de faltas no graves, de abstención de iniciar procedimiento o de no imponer sanción.</w:t>
      </w:r>
    </w:p>
    <w:p w14:paraId="7F594D09" w14:textId="5DC10D1F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365156">
        <w:rPr>
          <w:rFonts w:ascii="Arial" w:hAnsi="Arial" w:cs="Arial"/>
          <w:sz w:val="24"/>
          <w:szCs w:val="24"/>
        </w:rPr>
        <w:t xml:space="preserve">Artículo 117. </w:t>
      </w:r>
    </w:p>
    <w:p w14:paraId="1FED5339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sz w:val="24"/>
          <w:szCs w:val="24"/>
        </w:rPr>
      </w:pPr>
    </w:p>
    <w:p w14:paraId="3E9C0822" w14:textId="6EA10475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>De la revocación.</w:t>
      </w:r>
    </w:p>
    <w:p w14:paraId="3234F8BC" w14:textId="2F5DC4A9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230.</w:t>
      </w:r>
    </w:p>
    <w:p w14:paraId="12642E2C" w14:textId="24B1E97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231.</w:t>
      </w:r>
    </w:p>
    <w:p w14:paraId="18DB7C70" w14:textId="68152F7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232.</w:t>
      </w:r>
    </w:p>
    <w:p w14:paraId="0FCACA51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02F0D5EC" w14:textId="7425E73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eclamación.</w:t>
      </w:r>
    </w:p>
    <w:p w14:paraId="5E4A326D" w14:textId="248F55C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233.</w:t>
      </w:r>
    </w:p>
    <w:p w14:paraId="29DB126E" w14:textId="71C02FF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234.</w:t>
      </w:r>
    </w:p>
    <w:p w14:paraId="74FDB6F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6C4B82D8" w14:textId="3A0EADB7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a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pelación.</w:t>
      </w:r>
    </w:p>
    <w:p w14:paraId="5E80F605" w14:textId="6C03485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235.</w:t>
      </w:r>
    </w:p>
    <w:p w14:paraId="54FB400B" w14:textId="426AA3F6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236.</w:t>
      </w:r>
    </w:p>
    <w:p w14:paraId="7E0B7E6E" w14:textId="5B1170E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237.</w:t>
      </w:r>
    </w:p>
    <w:p w14:paraId="2B0BF168" w14:textId="09BB3DC0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238.</w:t>
      </w:r>
    </w:p>
    <w:p w14:paraId="571F6E32" w14:textId="44618C55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239.</w:t>
      </w:r>
    </w:p>
    <w:p w14:paraId="6D5167ED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27E77695" w14:textId="6DBA085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evisión.</w:t>
      </w:r>
    </w:p>
    <w:p w14:paraId="370BD47C" w14:textId="23CD803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240.</w:t>
      </w:r>
    </w:p>
    <w:p w14:paraId="19F2E8C5" w14:textId="3BD6E4DE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241.</w:t>
      </w:r>
    </w:p>
    <w:p w14:paraId="7B4ED95A" w14:textId="112DB96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242.</w:t>
      </w:r>
    </w:p>
    <w:p w14:paraId="5A9DEAD2" w14:textId="0315BE6C" w:rsidR="006210CB" w:rsidRP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243.</w:t>
      </w:r>
    </w:p>
    <w:p w14:paraId="256A55BD" w14:textId="77777777" w:rsidR="00261FEA" w:rsidRDefault="00261FEA"/>
    <w:sectPr w:rsidR="00261FEA" w:rsidSect="00752C99">
      <w:footerReference w:type="default" r:id="rId7"/>
      <w:pgSz w:w="12240" w:h="15840"/>
      <w:pgMar w:top="1340" w:right="156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D6942" w14:textId="77777777" w:rsidR="00A812C9" w:rsidRDefault="00A812C9" w:rsidP="00A812C9">
      <w:r>
        <w:separator/>
      </w:r>
    </w:p>
  </w:endnote>
  <w:endnote w:type="continuationSeparator" w:id="0">
    <w:p w14:paraId="7E616F4D" w14:textId="77777777" w:rsidR="00A812C9" w:rsidRDefault="00A812C9" w:rsidP="00A8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5337906"/>
      <w:docPartObj>
        <w:docPartGallery w:val="Page Numbers (Bottom of Page)"/>
        <w:docPartUnique/>
      </w:docPartObj>
    </w:sdtPr>
    <w:sdtEndPr/>
    <w:sdtContent>
      <w:p w14:paraId="49D6811A" w14:textId="0CDF8843" w:rsidR="00A812C9" w:rsidRDefault="00A812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0DE476EE" w14:textId="77777777" w:rsidR="00A812C9" w:rsidRDefault="00A812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9C56" w14:textId="77777777" w:rsidR="00A812C9" w:rsidRDefault="00A812C9" w:rsidP="00A812C9">
      <w:r>
        <w:separator/>
      </w:r>
    </w:p>
  </w:footnote>
  <w:footnote w:type="continuationSeparator" w:id="0">
    <w:p w14:paraId="76180B73" w14:textId="77777777" w:rsidR="00A812C9" w:rsidRDefault="00A812C9" w:rsidP="00A8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563727"/>
    <w:multiLevelType w:val="hybridMultilevel"/>
    <w:tmpl w:val="06C88C10"/>
    <w:lvl w:ilvl="0" w:tplc="BD445E8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7EB67F42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2" w:tplc="668200E0">
      <w:numFmt w:val="bullet"/>
      <w:lvlText w:val="•"/>
      <w:lvlJc w:val="left"/>
      <w:pPr>
        <w:ind w:left="2552" w:hanging="360"/>
      </w:pPr>
      <w:rPr>
        <w:rFonts w:hint="default"/>
        <w:lang w:val="es-ES" w:eastAsia="en-US" w:bidi="ar-SA"/>
      </w:rPr>
    </w:lvl>
    <w:lvl w:ilvl="3" w:tplc="FC08649E">
      <w:numFmt w:val="bullet"/>
      <w:lvlText w:val="•"/>
      <w:lvlJc w:val="left"/>
      <w:pPr>
        <w:ind w:left="3378" w:hanging="360"/>
      </w:pPr>
      <w:rPr>
        <w:rFonts w:hint="default"/>
        <w:lang w:val="es-ES" w:eastAsia="en-US" w:bidi="ar-SA"/>
      </w:rPr>
    </w:lvl>
    <w:lvl w:ilvl="4" w:tplc="641E52A8">
      <w:numFmt w:val="bullet"/>
      <w:lvlText w:val="•"/>
      <w:lvlJc w:val="left"/>
      <w:pPr>
        <w:ind w:left="4204" w:hanging="360"/>
      </w:pPr>
      <w:rPr>
        <w:rFonts w:hint="default"/>
        <w:lang w:val="es-ES" w:eastAsia="en-US" w:bidi="ar-SA"/>
      </w:rPr>
    </w:lvl>
    <w:lvl w:ilvl="5" w:tplc="57129F4C">
      <w:numFmt w:val="bullet"/>
      <w:lvlText w:val="•"/>
      <w:lvlJc w:val="left"/>
      <w:pPr>
        <w:ind w:left="5030" w:hanging="360"/>
      </w:pPr>
      <w:rPr>
        <w:rFonts w:hint="default"/>
        <w:lang w:val="es-ES" w:eastAsia="en-US" w:bidi="ar-SA"/>
      </w:rPr>
    </w:lvl>
    <w:lvl w:ilvl="6" w:tplc="C41ABA10">
      <w:numFmt w:val="bullet"/>
      <w:lvlText w:val="•"/>
      <w:lvlJc w:val="left"/>
      <w:pPr>
        <w:ind w:left="5856" w:hanging="360"/>
      </w:pPr>
      <w:rPr>
        <w:rFonts w:hint="default"/>
        <w:lang w:val="es-ES" w:eastAsia="en-US" w:bidi="ar-SA"/>
      </w:rPr>
    </w:lvl>
    <w:lvl w:ilvl="7" w:tplc="AC141F08">
      <w:numFmt w:val="bullet"/>
      <w:lvlText w:val="•"/>
      <w:lvlJc w:val="left"/>
      <w:pPr>
        <w:ind w:left="6682" w:hanging="360"/>
      </w:pPr>
      <w:rPr>
        <w:rFonts w:hint="default"/>
        <w:lang w:val="es-ES" w:eastAsia="en-US" w:bidi="ar-SA"/>
      </w:rPr>
    </w:lvl>
    <w:lvl w:ilvl="8" w:tplc="FC5C08E0">
      <w:numFmt w:val="bullet"/>
      <w:lvlText w:val="•"/>
      <w:lvlJc w:val="left"/>
      <w:pPr>
        <w:ind w:left="750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6FF20F0"/>
    <w:multiLevelType w:val="hybridMultilevel"/>
    <w:tmpl w:val="885236F6"/>
    <w:lvl w:ilvl="0" w:tplc="F21A6DE6">
      <w:start w:val="2"/>
      <w:numFmt w:val="decimal"/>
      <w:lvlText w:val="%1."/>
      <w:lvlJc w:val="left"/>
      <w:pPr>
        <w:ind w:left="429" w:hanging="248"/>
        <w:jc w:val="right"/>
      </w:pPr>
      <w:rPr>
        <w:rFonts w:hint="default"/>
        <w:w w:val="100"/>
        <w:lang w:val="es-ES" w:eastAsia="en-US" w:bidi="ar-SA"/>
      </w:rPr>
    </w:lvl>
    <w:lvl w:ilvl="1" w:tplc="7EBEC07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B7F83DF8">
      <w:numFmt w:val="bullet"/>
      <w:lvlText w:val=""/>
      <w:lvlJc w:val="left"/>
      <w:pPr>
        <w:ind w:left="162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3" w:tplc="C4488C78">
      <w:numFmt w:val="bullet"/>
      <w:lvlText w:val="•"/>
      <w:lvlJc w:val="left"/>
      <w:pPr>
        <w:ind w:left="1680" w:hanging="360"/>
      </w:pPr>
      <w:rPr>
        <w:rFonts w:hint="default"/>
        <w:lang w:val="es-ES" w:eastAsia="en-US" w:bidi="ar-SA"/>
      </w:rPr>
    </w:lvl>
    <w:lvl w:ilvl="4" w:tplc="418CFC9E">
      <w:numFmt w:val="bullet"/>
      <w:lvlText w:val="•"/>
      <w:lvlJc w:val="left"/>
      <w:pPr>
        <w:ind w:left="2748" w:hanging="360"/>
      </w:pPr>
      <w:rPr>
        <w:rFonts w:hint="default"/>
        <w:lang w:val="es-ES" w:eastAsia="en-US" w:bidi="ar-SA"/>
      </w:rPr>
    </w:lvl>
    <w:lvl w:ilvl="5" w:tplc="ECB8E6E6">
      <w:numFmt w:val="bullet"/>
      <w:lvlText w:val="•"/>
      <w:lvlJc w:val="left"/>
      <w:pPr>
        <w:ind w:left="3817" w:hanging="360"/>
      </w:pPr>
      <w:rPr>
        <w:rFonts w:hint="default"/>
        <w:lang w:val="es-ES" w:eastAsia="en-US" w:bidi="ar-SA"/>
      </w:rPr>
    </w:lvl>
    <w:lvl w:ilvl="6" w:tplc="A790E14E">
      <w:numFmt w:val="bullet"/>
      <w:lvlText w:val="•"/>
      <w:lvlJc w:val="left"/>
      <w:pPr>
        <w:ind w:left="4885" w:hanging="360"/>
      </w:pPr>
      <w:rPr>
        <w:rFonts w:hint="default"/>
        <w:lang w:val="es-ES" w:eastAsia="en-US" w:bidi="ar-SA"/>
      </w:rPr>
    </w:lvl>
    <w:lvl w:ilvl="7" w:tplc="EF4852B4">
      <w:numFmt w:val="bullet"/>
      <w:lvlText w:val="•"/>
      <w:lvlJc w:val="left"/>
      <w:pPr>
        <w:ind w:left="5954" w:hanging="360"/>
      </w:pPr>
      <w:rPr>
        <w:rFonts w:hint="default"/>
        <w:lang w:val="es-ES" w:eastAsia="en-US" w:bidi="ar-SA"/>
      </w:rPr>
    </w:lvl>
    <w:lvl w:ilvl="8" w:tplc="525AC5DE">
      <w:numFmt w:val="bullet"/>
      <w:lvlText w:val="•"/>
      <w:lvlJc w:val="left"/>
      <w:pPr>
        <w:ind w:left="7022" w:hanging="360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C99"/>
    <w:rsid w:val="00261FEA"/>
    <w:rsid w:val="00355193"/>
    <w:rsid w:val="004260F5"/>
    <w:rsid w:val="0046717C"/>
    <w:rsid w:val="005F55CA"/>
    <w:rsid w:val="006210CB"/>
    <w:rsid w:val="00704B45"/>
    <w:rsid w:val="007420D1"/>
    <w:rsid w:val="0074227B"/>
    <w:rsid w:val="00747A26"/>
    <w:rsid w:val="00752C99"/>
    <w:rsid w:val="007B4D26"/>
    <w:rsid w:val="00915722"/>
    <w:rsid w:val="00A812C9"/>
    <w:rsid w:val="00DD4E4F"/>
    <w:rsid w:val="00E85F4D"/>
    <w:rsid w:val="00FB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7C04"/>
  <w15:docId w15:val="{47B15D2B-6ECF-4BF8-A1E4-71166485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C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260F5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260F5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260F5"/>
    <w:pPr>
      <w:keepNext/>
      <w:keepLines/>
      <w:spacing w:before="40"/>
      <w:ind w:left="708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260F5"/>
    <w:pPr>
      <w:keepNext/>
      <w:keepLines/>
      <w:spacing w:before="40"/>
      <w:ind w:firstLine="709"/>
      <w:outlineLvl w:val="3"/>
    </w:pPr>
    <w:rPr>
      <w:rFonts w:ascii="Times New Roman" w:eastAsiaTheme="majorEastAsia" w:hAnsi="Times New Roman" w:cstheme="majorBidi"/>
      <w:b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60F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260F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260F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260F5"/>
    <w:rPr>
      <w:rFonts w:ascii="Times New Roman" w:eastAsiaTheme="majorEastAsia" w:hAnsi="Times New Roman" w:cstheme="majorBidi"/>
      <w:b/>
      <w:i/>
      <w:iCs/>
      <w:sz w:val="24"/>
    </w:rPr>
  </w:style>
  <w:style w:type="paragraph" w:styleId="Textoindependiente">
    <w:name w:val="Body Text"/>
    <w:basedOn w:val="Normal"/>
    <w:link w:val="TextoindependienteCar"/>
    <w:uiPriority w:val="1"/>
    <w:qFormat/>
    <w:rsid w:val="00752C9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2C99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752C99"/>
    <w:pPr>
      <w:spacing w:line="268" w:lineRule="exact"/>
      <w:ind w:left="890" w:hanging="361"/>
    </w:pPr>
  </w:style>
  <w:style w:type="paragraph" w:styleId="Encabezado">
    <w:name w:val="header"/>
    <w:basedOn w:val="Normal"/>
    <w:link w:val="Encabezado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12C9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2C9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 López</dc:creator>
  <cp:keywords/>
  <dc:description/>
  <cp:lastModifiedBy>SLara</cp:lastModifiedBy>
  <cp:revision>6</cp:revision>
  <dcterms:created xsi:type="dcterms:W3CDTF">2023-11-09T22:03:00Z</dcterms:created>
  <dcterms:modified xsi:type="dcterms:W3CDTF">2023-12-14T12:35:00Z</dcterms:modified>
</cp:coreProperties>
</file>