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6D67F" w14:textId="39B0AD77" w:rsidR="00ED113F" w:rsidRPr="00300B1B" w:rsidRDefault="00ED113F" w:rsidP="00ED113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737852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BC635C" w14:textId="32158156" w:rsidR="0060579B" w:rsidRDefault="001761BF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</w:p>
    <w:p w14:paraId="07426E07" w14:textId="77777777" w:rsidR="0060579B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3818437B" w14:textId="67910063" w:rsidR="0060579B" w:rsidRDefault="001D44D8" w:rsidP="007A3BEF">
      <w:pPr>
        <w:pStyle w:val="Textoindependiente"/>
        <w:spacing w:before="57" w:line="240" w:lineRule="auto"/>
        <w:ind w:left="142" w:firstLine="0"/>
      </w:pPr>
      <w:hyperlink r:id="rId6" w:history="1">
        <w:r w:rsidRPr="00EE6682">
          <w:rPr>
            <w:rStyle w:val="Hipervnculo"/>
          </w:rPr>
          <w:t>https://www.diputados.gob.mx/LeyesBiblio/pdf/LGTAIP.pdf</w:t>
        </w:r>
      </w:hyperlink>
    </w:p>
    <w:p w14:paraId="1C87B9C6" w14:textId="77777777" w:rsidR="001D44D8" w:rsidRPr="009271A2" w:rsidRDefault="001D44D8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261B2CF8" w:rsidR="004448A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7B98FC7C" w14:textId="77777777" w:rsidR="00F9194A" w:rsidRPr="009271A2" w:rsidRDefault="00F9194A" w:rsidP="00F9194A">
      <w:pPr>
        <w:pStyle w:val="Prrafodelista"/>
        <w:tabs>
          <w:tab w:val="left" w:pos="1222"/>
        </w:tabs>
        <w:ind w:left="1942" w:firstLine="0"/>
        <w:rPr>
          <w:rFonts w:asciiTheme="minorHAnsi" w:hAnsiTheme="minorHAnsi" w:cstheme="minorHAnsi"/>
          <w:sz w:val="24"/>
          <w:szCs w:val="24"/>
        </w:rPr>
      </w:pP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5CCC5664" w14:textId="77777777" w:rsidR="00F9194A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78. Clasificación.</w:t>
      </w:r>
    </w:p>
    <w:p w14:paraId="192AEDBE" w14:textId="59CB06AF" w:rsidR="009E2376" w:rsidRPr="009271A2" w:rsidRDefault="004F04B1" w:rsidP="00F9194A">
      <w:pPr>
        <w:pStyle w:val="Prrafodelista"/>
        <w:ind w:firstLine="0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BEF"/>
    <w:rsid w:val="001761BF"/>
    <w:rsid w:val="001D44D8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0579B"/>
    <w:rsid w:val="00672372"/>
    <w:rsid w:val="006D609D"/>
    <w:rsid w:val="00737852"/>
    <w:rsid w:val="007A3BEF"/>
    <w:rsid w:val="00892112"/>
    <w:rsid w:val="009271A2"/>
    <w:rsid w:val="00992931"/>
    <w:rsid w:val="009A225D"/>
    <w:rsid w:val="009B2173"/>
    <w:rsid w:val="009E2376"/>
    <w:rsid w:val="00B21ADD"/>
    <w:rsid w:val="00C636AC"/>
    <w:rsid w:val="00C6640E"/>
    <w:rsid w:val="00D4122C"/>
    <w:rsid w:val="00E075BC"/>
    <w:rsid w:val="00E448E9"/>
    <w:rsid w:val="00ED113F"/>
    <w:rsid w:val="00F9194A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D4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putados.gob.mx/LeyesBiblio/pdf/LGTAIP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SLara</cp:lastModifiedBy>
  <cp:revision>8</cp:revision>
  <dcterms:created xsi:type="dcterms:W3CDTF">2023-11-09T22:04:00Z</dcterms:created>
  <dcterms:modified xsi:type="dcterms:W3CDTF">2023-12-14T12:39:00Z</dcterms:modified>
</cp:coreProperties>
</file>