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F4088" w14:textId="00C1DED1" w:rsidR="00295736" w:rsidRPr="00C97FE6" w:rsidRDefault="00295736" w:rsidP="00295736">
      <w:pPr>
        <w:ind w:right="500"/>
        <w:jc w:val="center"/>
        <w:rPr>
          <w:rFonts w:ascii="Arial" w:hAnsi="Arial" w:cs="Arial"/>
          <w:b/>
        </w:rPr>
      </w:pPr>
      <w:r w:rsidRPr="00C97FE6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288D9D77" w14:textId="77777777" w:rsidR="00D22589" w:rsidRPr="00C97FE6" w:rsidRDefault="00D22589" w:rsidP="00295736">
      <w:pPr>
        <w:ind w:right="500"/>
        <w:jc w:val="center"/>
        <w:rPr>
          <w:rFonts w:ascii="Arial" w:hAnsi="Arial" w:cs="Arial"/>
          <w:b/>
        </w:rPr>
      </w:pPr>
    </w:p>
    <w:p w14:paraId="555F2BE5" w14:textId="1547B145" w:rsidR="00636603" w:rsidRPr="00C97FE6" w:rsidRDefault="00C43723" w:rsidP="000C4FD8">
      <w:pPr>
        <w:spacing w:before="74" w:line="278" w:lineRule="auto"/>
        <w:ind w:right="101"/>
        <w:jc w:val="center"/>
        <w:rPr>
          <w:rFonts w:ascii="Arial" w:hAnsi="Arial" w:cs="Arial"/>
          <w:b/>
          <w:iCs/>
        </w:rPr>
      </w:pPr>
      <w:r w:rsidRPr="00C97FE6">
        <w:rPr>
          <w:rFonts w:ascii="Arial" w:hAnsi="Arial" w:cs="Arial"/>
          <w:b/>
          <w:highlight w:val="lightGray"/>
          <w:u w:val="thick"/>
        </w:rPr>
        <w:t>JUICIO</w:t>
      </w:r>
      <w:r w:rsidRPr="00C97FE6">
        <w:rPr>
          <w:rFonts w:ascii="Arial" w:hAnsi="Arial" w:cs="Arial"/>
          <w:b/>
          <w:spacing w:val="-4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DE</w:t>
      </w:r>
      <w:r w:rsidRPr="00C97FE6">
        <w:rPr>
          <w:rFonts w:ascii="Arial" w:hAnsi="Arial" w:cs="Arial"/>
          <w:b/>
          <w:spacing w:val="-1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AMPARO</w:t>
      </w:r>
    </w:p>
    <w:p w14:paraId="3F23DA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5D8B69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7356E179" w14:textId="66C5F3FC" w:rsidR="00B52BF8" w:rsidRPr="00C97FE6" w:rsidRDefault="00B52BF8" w:rsidP="00B26C97">
      <w:pPr>
        <w:pStyle w:val="Textoindependiente"/>
        <w:spacing w:before="41"/>
        <w:rPr>
          <w:rFonts w:ascii="Arial" w:hAnsi="Arial" w:cs="Arial"/>
          <w:b/>
          <w:bCs/>
          <w:sz w:val="22"/>
          <w:szCs w:val="22"/>
        </w:rPr>
      </w:pPr>
      <w:r w:rsidRPr="00C97FE6">
        <w:rPr>
          <w:rFonts w:ascii="Arial" w:hAnsi="Arial" w:cs="Arial"/>
          <w:b/>
          <w:bCs/>
          <w:sz w:val="22"/>
          <w:szCs w:val="22"/>
        </w:rPr>
        <w:t xml:space="preserve">CONSTITUCIÓN POLÍTICA DE LOS ESTADOS UNIDOS </w:t>
      </w:r>
      <w:r w:rsidR="00EE32D6" w:rsidRPr="00C97FE6">
        <w:rPr>
          <w:rFonts w:ascii="Arial" w:hAnsi="Arial" w:cs="Arial"/>
          <w:b/>
          <w:bCs/>
          <w:sz w:val="22"/>
          <w:szCs w:val="22"/>
        </w:rPr>
        <w:t>MEXICANOS</w:t>
      </w:r>
    </w:p>
    <w:p w14:paraId="41A64F38" w14:textId="731283C5" w:rsidR="00B26C97" w:rsidRPr="00C97FE6" w:rsidRDefault="00B26C97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  <w:r w:rsidRPr="00C97FE6">
        <w:rPr>
          <w:rFonts w:ascii="Arial" w:hAnsi="Arial" w:cs="Arial"/>
          <w:b/>
          <w:bCs/>
          <w:sz w:val="22"/>
          <w:szCs w:val="22"/>
        </w:rPr>
        <w:t>https://www.poderjudicialyucatan.gob.mx/digestum/marcoLegal/01/2012/DIGESTUM01002.pdf</w:t>
      </w:r>
    </w:p>
    <w:p w14:paraId="17DAC041" w14:textId="77777777" w:rsidR="00B26C97" w:rsidRPr="00C97FE6" w:rsidRDefault="00B26C97" w:rsidP="000C10A8">
      <w:pPr>
        <w:pStyle w:val="Textoindependiente"/>
        <w:spacing w:before="41"/>
        <w:ind w:left="102"/>
        <w:rPr>
          <w:rFonts w:ascii="Arial" w:hAnsi="Arial" w:cs="Arial"/>
          <w:b/>
          <w:bCs/>
          <w:sz w:val="22"/>
          <w:szCs w:val="22"/>
        </w:rPr>
      </w:pPr>
    </w:p>
    <w:p w14:paraId="27C4AE01" w14:textId="4C38F805" w:rsidR="00B52BF8" w:rsidRPr="00C97FE6" w:rsidRDefault="000F4117" w:rsidP="00F230AC">
      <w:pPr>
        <w:pStyle w:val="Textoindependiente"/>
        <w:numPr>
          <w:ilvl w:val="0"/>
          <w:numId w:val="1"/>
        </w:numPr>
        <w:spacing w:before="41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Del Poder Judicial.</w:t>
      </w:r>
    </w:p>
    <w:p w14:paraId="3D7A6008" w14:textId="4623D12A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103</w:t>
      </w:r>
    </w:p>
    <w:p w14:paraId="02F9D9C3" w14:textId="0A958CA6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104</w:t>
      </w:r>
    </w:p>
    <w:p w14:paraId="26417A6C" w14:textId="1B74AEE3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107</w:t>
      </w:r>
    </w:p>
    <w:p w14:paraId="5B707E35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6588AFD1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0EE9FE8D" w14:textId="7936D2B6" w:rsidR="00B52BF8" w:rsidRPr="00C97FE6" w:rsidRDefault="00B52BF8" w:rsidP="000C10A8">
      <w:pPr>
        <w:pStyle w:val="Ttulo1"/>
        <w:rPr>
          <w:sz w:val="22"/>
          <w:szCs w:val="22"/>
        </w:rPr>
      </w:pPr>
      <w:r w:rsidRPr="00C97FE6">
        <w:rPr>
          <w:sz w:val="22"/>
          <w:szCs w:val="22"/>
        </w:rPr>
        <w:t>LEY DE AMPARO, REGLAMENTARIA DE LOS ARTÍCULOS 103 Y 107 DE LA CONSTITUCIÓN POLÍTICA DE LOS ESTADOS UNIDOS MEXICANOS</w:t>
      </w:r>
    </w:p>
    <w:p w14:paraId="11DE6064" w14:textId="085E7CFA" w:rsidR="00EE32D6" w:rsidRPr="00C97FE6" w:rsidRDefault="00EE32D6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  <w:r w:rsidRPr="00C97FE6">
        <w:rPr>
          <w:rFonts w:ascii="Arial" w:hAnsi="Arial" w:cs="Arial"/>
          <w:b/>
          <w:sz w:val="22"/>
          <w:szCs w:val="22"/>
        </w:rPr>
        <w:t>https://www.diputados.gob.mx/LeyesBiblio/pdf/LAmp.pdf</w:t>
      </w:r>
    </w:p>
    <w:p w14:paraId="2ADC92A6" w14:textId="77777777" w:rsidR="007B71CA" w:rsidRPr="00C97FE6" w:rsidRDefault="007B71CA" w:rsidP="008E5C2E">
      <w:pPr>
        <w:pStyle w:val="Textoindependiente"/>
        <w:ind w:left="102" w:right="2117"/>
        <w:rPr>
          <w:rFonts w:ascii="Arial" w:hAnsi="Arial" w:cs="Arial"/>
          <w:sz w:val="22"/>
          <w:szCs w:val="22"/>
        </w:rPr>
      </w:pPr>
    </w:p>
    <w:p w14:paraId="6CFF9647" w14:textId="2A0CA942" w:rsidR="00B26C97" w:rsidRPr="00C97FE6" w:rsidRDefault="00C43723" w:rsidP="00B26C97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Disposiciones Fundamentales</w:t>
      </w:r>
      <w:r w:rsidR="00EE32D6" w:rsidRPr="00C97FE6">
        <w:rPr>
          <w:rFonts w:ascii="Arial" w:hAnsi="Arial" w:cs="Arial"/>
          <w:b/>
          <w:sz w:val="22"/>
          <w:szCs w:val="22"/>
          <w:highlight w:val="lightGray"/>
        </w:rPr>
        <w:t>.</w:t>
      </w:r>
    </w:p>
    <w:p w14:paraId="3D977070" w14:textId="77777777" w:rsidR="00EE32D6" w:rsidRPr="00C97FE6" w:rsidRDefault="00EE32D6" w:rsidP="00B26C97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1.</w:t>
      </w:r>
    </w:p>
    <w:p w14:paraId="00A4CF76" w14:textId="6054FA9C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2.</w:t>
      </w:r>
    </w:p>
    <w:p w14:paraId="4DB7A095" w14:textId="24880E7B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3.</w:t>
      </w:r>
    </w:p>
    <w:p w14:paraId="18984F3F" w14:textId="174D4BB6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4.</w:t>
      </w:r>
    </w:p>
    <w:p w14:paraId="31E5F9F0" w14:textId="77777777" w:rsidR="00231BA7" w:rsidRPr="00C97FE6" w:rsidRDefault="00231BA7" w:rsidP="00EE32D6">
      <w:pPr>
        <w:pStyle w:val="Textoindependiente"/>
        <w:ind w:right="2117"/>
        <w:rPr>
          <w:rFonts w:ascii="Arial" w:hAnsi="Arial" w:cs="Arial"/>
          <w:sz w:val="22"/>
          <w:szCs w:val="22"/>
        </w:rPr>
      </w:pPr>
    </w:p>
    <w:p w14:paraId="31809A29" w14:textId="77777777" w:rsidR="00EE32D6" w:rsidRPr="00C97FE6" w:rsidRDefault="00231BA7" w:rsidP="00EE32D6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C</w:t>
      </w:r>
      <w:r w:rsidR="00C43723" w:rsidRPr="00C97FE6">
        <w:rPr>
          <w:rFonts w:ascii="Arial" w:hAnsi="Arial" w:cs="Arial"/>
          <w:b/>
          <w:sz w:val="22"/>
          <w:szCs w:val="22"/>
          <w:highlight w:val="lightGray"/>
        </w:rPr>
        <w:t>apacidad</w:t>
      </w:r>
      <w:r w:rsidR="00C43723" w:rsidRPr="00C97FE6">
        <w:rPr>
          <w:rFonts w:ascii="Arial" w:hAnsi="Arial" w:cs="Arial"/>
          <w:b/>
          <w:spacing w:val="-3"/>
          <w:sz w:val="22"/>
          <w:szCs w:val="22"/>
          <w:highlight w:val="lightGray"/>
        </w:rPr>
        <w:t xml:space="preserve"> </w:t>
      </w:r>
      <w:r w:rsidR="00C43723" w:rsidRPr="00C97FE6">
        <w:rPr>
          <w:rFonts w:ascii="Arial" w:hAnsi="Arial" w:cs="Arial"/>
          <w:b/>
          <w:sz w:val="22"/>
          <w:szCs w:val="22"/>
          <w:highlight w:val="lightGray"/>
        </w:rPr>
        <w:t>y</w:t>
      </w:r>
      <w:r w:rsidR="00C43723" w:rsidRPr="00C97FE6">
        <w:rPr>
          <w:rFonts w:ascii="Arial" w:hAnsi="Arial" w:cs="Arial"/>
          <w:b/>
          <w:spacing w:val="-3"/>
          <w:sz w:val="22"/>
          <w:szCs w:val="22"/>
          <w:highlight w:val="lightGray"/>
        </w:rPr>
        <w:t xml:space="preserve"> </w:t>
      </w:r>
      <w:r w:rsidR="00EE32D6" w:rsidRPr="00C97FE6">
        <w:rPr>
          <w:rFonts w:ascii="Arial" w:hAnsi="Arial" w:cs="Arial"/>
          <w:b/>
          <w:sz w:val="22"/>
          <w:szCs w:val="22"/>
          <w:highlight w:val="lightGray"/>
        </w:rPr>
        <w:t>Personería</w:t>
      </w:r>
      <w:r w:rsidR="00EE32D6" w:rsidRPr="00C97FE6">
        <w:rPr>
          <w:rFonts w:ascii="Arial" w:hAnsi="Arial" w:cs="Arial"/>
          <w:b/>
          <w:spacing w:val="3"/>
          <w:sz w:val="22"/>
          <w:szCs w:val="22"/>
          <w:highlight w:val="lightGray"/>
        </w:rPr>
        <w:t>.</w:t>
      </w:r>
    </w:p>
    <w:p w14:paraId="0AEA4492" w14:textId="6CCA2CEB" w:rsidR="00C530F3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 xml:space="preserve">Artículo 5. </w:t>
      </w:r>
      <w:r w:rsidR="00C530F3" w:rsidRPr="00C97FE6">
        <w:rPr>
          <w:rFonts w:ascii="Arial" w:hAnsi="Arial" w:cs="Arial"/>
          <w:spacing w:val="3"/>
          <w:sz w:val="22"/>
          <w:szCs w:val="22"/>
        </w:rPr>
        <w:t xml:space="preserve"> </w:t>
      </w:r>
    </w:p>
    <w:p w14:paraId="2517BF6E" w14:textId="4A4B22C1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6.</w:t>
      </w:r>
    </w:p>
    <w:p w14:paraId="0E2205F4" w14:textId="57C21ADF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 xml:space="preserve">Artículo 7. </w:t>
      </w:r>
    </w:p>
    <w:p w14:paraId="4FA71449" w14:textId="4216475B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8.</w:t>
      </w:r>
    </w:p>
    <w:p w14:paraId="2F50490D" w14:textId="312999A1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 xml:space="preserve">Artículo 9. </w:t>
      </w:r>
    </w:p>
    <w:p w14:paraId="23F7927A" w14:textId="661E0DDE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10.</w:t>
      </w:r>
    </w:p>
    <w:p w14:paraId="723E966F" w14:textId="5CDCCFEF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11.</w:t>
      </w:r>
    </w:p>
    <w:p w14:paraId="72F284C8" w14:textId="1C999A4B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12.</w:t>
      </w:r>
    </w:p>
    <w:p w14:paraId="4F417105" w14:textId="77E11CD1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13.</w:t>
      </w:r>
    </w:p>
    <w:p w14:paraId="0A84DD9A" w14:textId="011B6830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14.</w:t>
      </w:r>
    </w:p>
    <w:p w14:paraId="20B2A9FB" w14:textId="7E6E92EE" w:rsidR="0078196B" w:rsidRPr="00C97FE6" w:rsidRDefault="0078196B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15.</w:t>
      </w:r>
    </w:p>
    <w:p w14:paraId="4D7BC7F4" w14:textId="31B60D05" w:rsidR="0078196B" w:rsidRPr="00C97FE6" w:rsidRDefault="0078196B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pacing w:val="3"/>
          <w:sz w:val="22"/>
          <w:szCs w:val="22"/>
        </w:rPr>
        <w:t>Artículo 16.</w:t>
      </w:r>
    </w:p>
    <w:p w14:paraId="7E0A73F6" w14:textId="77777777" w:rsidR="007B71CA" w:rsidRPr="00C97FE6" w:rsidRDefault="007B71CA" w:rsidP="007B71CA">
      <w:pPr>
        <w:pStyle w:val="Textoindependiente"/>
        <w:ind w:left="867" w:right="2117"/>
        <w:rPr>
          <w:rFonts w:ascii="Arial" w:hAnsi="Arial" w:cs="Arial"/>
          <w:sz w:val="22"/>
          <w:szCs w:val="22"/>
        </w:rPr>
      </w:pPr>
    </w:p>
    <w:p w14:paraId="36D7C9C7" w14:textId="77777777" w:rsidR="0078196B" w:rsidRPr="00C97FE6" w:rsidRDefault="00C43723" w:rsidP="0078196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Plazos</w:t>
      </w:r>
      <w:r w:rsidR="0078196B" w:rsidRPr="00C97FE6">
        <w:rPr>
          <w:rFonts w:ascii="Arial" w:hAnsi="Arial" w:cs="Arial"/>
          <w:b/>
          <w:sz w:val="22"/>
          <w:szCs w:val="22"/>
          <w:highlight w:val="lightGray"/>
        </w:rPr>
        <w:t>.</w:t>
      </w:r>
    </w:p>
    <w:p w14:paraId="2DC15DA6" w14:textId="2E6BFD22" w:rsidR="00C530F3" w:rsidRPr="00C97FE6" w:rsidRDefault="00C530F3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</w:t>
      </w:r>
      <w:r w:rsidR="0078196B" w:rsidRPr="00C97FE6">
        <w:rPr>
          <w:rFonts w:ascii="Arial" w:hAnsi="Arial" w:cs="Arial"/>
          <w:sz w:val="22"/>
          <w:szCs w:val="22"/>
        </w:rPr>
        <w:t xml:space="preserve"> 17.</w:t>
      </w:r>
    </w:p>
    <w:p w14:paraId="06A2604F" w14:textId="490DFCD1" w:rsidR="0078196B" w:rsidRPr="00C97FE6" w:rsidRDefault="0078196B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18.</w:t>
      </w:r>
    </w:p>
    <w:p w14:paraId="1E556D2D" w14:textId="3E816AA3" w:rsidR="0078196B" w:rsidRPr="00C97FE6" w:rsidRDefault="0078196B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19.</w:t>
      </w:r>
    </w:p>
    <w:p w14:paraId="4E4A0CD9" w14:textId="3732768A" w:rsidR="0078196B" w:rsidRPr="00C97FE6" w:rsidRDefault="0078196B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20.</w:t>
      </w:r>
    </w:p>
    <w:p w14:paraId="09DBAED6" w14:textId="1263306B" w:rsidR="0078196B" w:rsidRPr="00C97FE6" w:rsidRDefault="0078196B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21.</w:t>
      </w:r>
    </w:p>
    <w:p w14:paraId="4BCEFE97" w14:textId="313955B9" w:rsidR="0078196B" w:rsidRPr="00C97FE6" w:rsidRDefault="0078196B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22.</w:t>
      </w:r>
    </w:p>
    <w:p w14:paraId="5F09BF32" w14:textId="61B0CC90" w:rsidR="0078196B" w:rsidRPr="00C97FE6" w:rsidRDefault="0078196B" w:rsidP="0078196B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23.</w:t>
      </w:r>
    </w:p>
    <w:p w14:paraId="44843A38" w14:textId="77777777" w:rsidR="007B71CA" w:rsidRPr="00C97FE6" w:rsidRDefault="007B71CA" w:rsidP="0078196B">
      <w:pPr>
        <w:pStyle w:val="Textoindependiente"/>
        <w:ind w:right="2117"/>
        <w:rPr>
          <w:rFonts w:ascii="Arial" w:hAnsi="Arial" w:cs="Arial"/>
          <w:iCs/>
          <w:sz w:val="22"/>
          <w:szCs w:val="22"/>
        </w:rPr>
      </w:pPr>
    </w:p>
    <w:p w14:paraId="15850615" w14:textId="77777777" w:rsidR="0078196B" w:rsidRPr="00C97FE6" w:rsidRDefault="00C43723" w:rsidP="0078196B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C97FE6">
        <w:rPr>
          <w:rFonts w:ascii="Arial" w:hAnsi="Arial" w:cs="Arial"/>
          <w:b/>
          <w:highlight w:val="lightGray"/>
        </w:rPr>
        <w:t>Notificaciones</w:t>
      </w:r>
      <w:r w:rsidR="0078196B" w:rsidRPr="00C97FE6">
        <w:rPr>
          <w:rFonts w:ascii="Arial" w:hAnsi="Arial" w:cs="Arial"/>
          <w:b/>
          <w:highlight w:val="lightGray"/>
        </w:rPr>
        <w:t>.</w:t>
      </w:r>
    </w:p>
    <w:p w14:paraId="7CAC838C" w14:textId="24C8FEA0" w:rsidR="00C530F3" w:rsidRPr="00C97FE6" w:rsidRDefault="00C530F3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lastRenderedPageBreak/>
        <w:t>Artículo</w:t>
      </w:r>
      <w:r w:rsidR="0078196B" w:rsidRPr="00C97FE6">
        <w:rPr>
          <w:rFonts w:ascii="Arial" w:hAnsi="Arial" w:cs="Arial"/>
        </w:rPr>
        <w:t xml:space="preserve"> 24.</w:t>
      </w:r>
    </w:p>
    <w:p w14:paraId="06E50639" w14:textId="3AA9C6B5" w:rsidR="0078196B" w:rsidRPr="00C97FE6" w:rsidRDefault="0078196B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25.</w:t>
      </w:r>
    </w:p>
    <w:p w14:paraId="1B2C6EE2" w14:textId="04AFAB36" w:rsidR="0078196B" w:rsidRPr="00C97FE6" w:rsidRDefault="0078196B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26.</w:t>
      </w:r>
    </w:p>
    <w:p w14:paraId="12A69418" w14:textId="79E143ED" w:rsidR="0078196B" w:rsidRPr="00C97FE6" w:rsidRDefault="0078196B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27.</w:t>
      </w:r>
    </w:p>
    <w:p w14:paraId="1B8C14D8" w14:textId="29FE893E" w:rsidR="0078196B" w:rsidRPr="00C97FE6" w:rsidRDefault="0078196B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28.</w:t>
      </w:r>
    </w:p>
    <w:p w14:paraId="680857D1" w14:textId="53BC2624" w:rsidR="0078196B" w:rsidRPr="00C97FE6" w:rsidRDefault="0078196B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29.</w:t>
      </w:r>
    </w:p>
    <w:p w14:paraId="231DD35B" w14:textId="288FB0BE" w:rsidR="0078196B" w:rsidRPr="00C97FE6" w:rsidRDefault="0078196B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30.</w:t>
      </w:r>
    </w:p>
    <w:p w14:paraId="4A420926" w14:textId="541623E5" w:rsidR="0078196B" w:rsidRPr="00C97FE6" w:rsidRDefault="0078196B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31.</w:t>
      </w:r>
    </w:p>
    <w:p w14:paraId="6265CE65" w14:textId="7671D713" w:rsidR="0078196B" w:rsidRPr="00C97FE6" w:rsidRDefault="0078196B" w:rsidP="0078196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bookmarkStart w:id="0" w:name="_Hlk102499594"/>
      <w:r w:rsidRPr="00C97FE6">
        <w:rPr>
          <w:rFonts w:ascii="Arial" w:hAnsi="Arial" w:cs="Arial"/>
        </w:rPr>
        <w:t>Artículo 32.</w:t>
      </w:r>
    </w:p>
    <w:bookmarkEnd w:id="0"/>
    <w:p w14:paraId="3334AD31" w14:textId="77777777" w:rsidR="0078196B" w:rsidRPr="00C97FE6" w:rsidRDefault="0078196B" w:rsidP="00543CC0">
      <w:pPr>
        <w:ind w:left="284"/>
        <w:rPr>
          <w:rFonts w:ascii="Arial" w:hAnsi="Arial" w:cs="Arial"/>
          <w:highlight w:val="lightGray"/>
        </w:rPr>
      </w:pPr>
    </w:p>
    <w:p w14:paraId="3B8341FE" w14:textId="13C2420F" w:rsidR="001E57CA" w:rsidRPr="00C97FE6" w:rsidRDefault="001E57CA" w:rsidP="00C530F3">
      <w:pPr>
        <w:pStyle w:val="Prrafodelista"/>
        <w:ind w:left="689"/>
        <w:rPr>
          <w:rFonts w:ascii="Arial" w:hAnsi="Arial" w:cs="Arial"/>
          <w:b/>
          <w:bCs/>
        </w:rPr>
      </w:pPr>
    </w:p>
    <w:p w14:paraId="78F3A9DD" w14:textId="77777777" w:rsidR="009041EC" w:rsidRPr="00C97FE6" w:rsidRDefault="00C43723" w:rsidP="009041EC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highlight w:val="lightGray"/>
        </w:rPr>
      </w:pPr>
      <w:r w:rsidRPr="00C97FE6">
        <w:rPr>
          <w:rFonts w:ascii="Arial" w:hAnsi="Arial" w:cs="Arial"/>
          <w:b/>
          <w:bCs/>
          <w:highlight w:val="lightGray"/>
        </w:rPr>
        <w:t>Reglas</w:t>
      </w:r>
      <w:r w:rsidRPr="00C97FE6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Pr="00C97FE6">
        <w:rPr>
          <w:rFonts w:ascii="Arial" w:hAnsi="Arial" w:cs="Arial"/>
          <w:b/>
          <w:bCs/>
          <w:highlight w:val="lightGray"/>
        </w:rPr>
        <w:t>de</w:t>
      </w:r>
      <w:r w:rsidRPr="00C97FE6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Pr="00C97FE6">
        <w:rPr>
          <w:rFonts w:ascii="Arial" w:hAnsi="Arial" w:cs="Arial"/>
          <w:b/>
          <w:bCs/>
          <w:highlight w:val="lightGray"/>
        </w:rPr>
        <w:t>Competencia</w:t>
      </w:r>
      <w:r w:rsidR="009041EC" w:rsidRPr="00C97FE6">
        <w:rPr>
          <w:rFonts w:ascii="Arial" w:hAnsi="Arial" w:cs="Arial"/>
          <w:b/>
          <w:bCs/>
          <w:highlight w:val="lightGray"/>
        </w:rPr>
        <w:t>.</w:t>
      </w:r>
    </w:p>
    <w:p w14:paraId="70C85B25" w14:textId="2EAC8E0B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34.</w:t>
      </w:r>
    </w:p>
    <w:p w14:paraId="67E4898D" w14:textId="0E162F8A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35.</w:t>
      </w:r>
    </w:p>
    <w:p w14:paraId="1276E9E4" w14:textId="6C07937F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36.</w:t>
      </w:r>
    </w:p>
    <w:p w14:paraId="7874EB69" w14:textId="4B3E472F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37.</w:t>
      </w:r>
    </w:p>
    <w:p w14:paraId="769B23EB" w14:textId="6B678321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38.</w:t>
      </w:r>
    </w:p>
    <w:p w14:paraId="7B8D61C7" w14:textId="12ADE629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39.</w:t>
      </w:r>
    </w:p>
    <w:p w14:paraId="09BFA2D5" w14:textId="3DD7B92C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40.</w:t>
      </w:r>
    </w:p>
    <w:p w14:paraId="73F95BF6" w14:textId="3D155118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41.</w:t>
      </w:r>
    </w:p>
    <w:p w14:paraId="75D4D8D0" w14:textId="66E65EBA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42</w:t>
      </w:r>
    </w:p>
    <w:p w14:paraId="2ECCFCC8" w14:textId="407D25FC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43.</w:t>
      </w:r>
    </w:p>
    <w:p w14:paraId="1C26F849" w14:textId="025AF03D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44.</w:t>
      </w:r>
    </w:p>
    <w:p w14:paraId="75BF18A4" w14:textId="712BFFB6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45.</w:t>
      </w:r>
    </w:p>
    <w:p w14:paraId="30597A77" w14:textId="13EB8F68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46.</w:t>
      </w:r>
    </w:p>
    <w:p w14:paraId="4EE94420" w14:textId="239BFE2A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47.</w:t>
      </w:r>
    </w:p>
    <w:p w14:paraId="3272663A" w14:textId="141EABE8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48.</w:t>
      </w:r>
    </w:p>
    <w:p w14:paraId="77B5915C" w14:textId="3CF4F60F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49.</w:t>
      </w:r>
    </w:p>
    <w:p w14:paraId="1C908288" w14:textId="46F79926" w:rsidR="009041EC" w:rsidRPr="00C97FE6" w:rsidRDefault="009041EC" w:rsidP="009041EC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 xml:space="preserve">Artículo 50. </w:t>
      </w:r>
    </w:p>
    <w:p w14:paraId="04B5D997" w14:textId="5D14A322" w:rsidR="003872FD" w:rsidRPr="00C97FE6" w:rsidRDefault="003872FD" w:rsidP="008E5C2E">
      <w:pPr>
        <w:ind w:left="102"/>
        <w:rPr>
          <w:rFonts w:ascii="Arial" w:hAnsi="Arial" w:cs="Arial"/>
        </w:rPr>
      </w:pPr>
    </w:p>
    <w:p w14:paraId="2EF6414B" w14:textId="7A686421" w:rsidR="003872FD" w:rsidRPr="00C97FE6" w:rsidRDefault="00C43723" w:rsidP="003872FD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 w:rsidRPr="00C97FE6">
        <w:rPr>
          <w:rFonts w:ascii="Arial" w:hAnsi="Arial" w:cs="Arial"/>
          <w:b/>
          <w:highlight w:val="lightGray"/>
        </w:rPr>
        <w:t>Improcedencia</w:t>
      </w:r>
      <w:r w:rsidR="000C4FD8" w:rsidRPr="00C97FE6">
        <w:rPr>
          <w:rFonts w:ascii="Arial" w:hAnsi="Arial" w:cs="Arial"/>
          <w:b/>
        </w:rPr>
        <w:t>.</w:t>
      </w:r>
    </w:p>
    <w:p w14:paraId="4EBE6BD8" w14:textId="77777777" w:rsidR="000C4FD8" w:rsidRPr="00C97FE6" w:rsidRDefault="00C530F3" w:rsidP="003872FD">
      <w:pPr>
        <w:pStyle w:val="Prrafodelista"/>
        <w:numPr>
          <w:ilvl w:val="1"/>
          <w:numId w:val="2"/>
        </w:numPr>
        <w:rPr>
          <w:rFonts w:ascii="Arial" w:hAnsi="Arial" w:cs="Arial"/>
          <w:i/>
        </w:rPr>
      </w:pPr>
      <w:r w:rsidRPr="00C97FE6">
        <w:rPr>
          <w:rFonts w:ascii="Arial" w:hAnsi="Arial" w:cs="Arial"/>
          <w:iCs/>
        </w:rPr>
        <w:t>Artí</w:t>
      </w:r>
      <w:r w:rsidR="000C4FD8" w:rsidRPr="00C97FE6">
        <w:rPr>
          <w:rFonts w:ascii="Arial" w:hAnsi="Arial" w:cs="Arial"/>
          <w:iCs/>
        </w:rPr>
        <w:t xml:space="preserve">culo </w:t>
      </w:r>
      <w:r w:rsidRPr="00C97FE6">
        <w:rPr>
          <w:rFonts w:ascii="Arial" w:hAnsi="Arial" w:cs="Arial"/>
          <w:iCs/>
        </w:rPr>
        <w:t>61</w:t>
      </w:r>
      <w:r w:rsidR="000C4FD8" w:rsidRPr="00C97FE6">
        <w:rPr>
          <w:rFonts w:ascii="Arial" w:hAnsi="Arial" w:cs="Arial"/>
          <w:iCs/>
        </w:rPr>
        <w:t>.</w:t>
      </w:r>
    </w:p>
    <w:p w14:paraId="2F554DEA" w14:textId="4131C912" w:rsidR="00636603" w:rsidRPr="00C97FE6" w:rsidRDefault="000C4FD8" w:rsidP="003872FD">
      <w:pPr>
        <w:pStyle w:val="Prrafodelista"/>
        <w:numPr>
          <w:ilvl w:val="1"/>
          <w:numId w:val="2"/>
        </w:numPr>
        <w:rPr>
          <w:rFonts w:ascii="Arial" w:hAnsi="Arial" w:cs="Arial"/>
          <w:i/>
        </w:rPr>
      </w:pPr>
      <w:r w:rsidRPr="00C97FE6">
        <w:rPr>
          <w:rFonts w:ascii="Arial" w:hAnsi="Arial" w:cs="Arial"/>
          <w:iCs/>
        </w:rPr>
        <w:t xml:space="preserve">Artículo 62. </w:t>
      </w:r>
    </w:p>
    <w:p w14:paraId="4D3EC350" w14:textId="77777777" w:rsidR="003872FD" w:rsidRPr="00C97FE6" w:rsidRDefault="003872FD" w:rsidP="003872FD">
      <w:pPr>
        <w:pStyle w:val="Prrafodelista"/>
        <w:ind w:left="867"/>
        <w:rPr>
          <w:rFonts w:ascii="Arial" w:hAnsi="Arial" w:cs="Arial"/>
          <w:i/>
        </w:rPr>
      </w:pPr>
    </w:p>
    <w:p w14:paraId="1696C589" w14:textId="77777777" w:rsidR="00FB273B" w:rsidRPr="00C97FE6" w:rsidRDefault="00C43723" w:rsidP="00FB273B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 w:rsidRPr="00C97FE6">
        <w:rPr>
          <w:rFonts w:ascii="Arial" w:hAnsi="Arial" w:cs="Arial"/>
          <w:b/>
          <w:highlight w:val="lightGray"/>
        </w:rPr>
        <w:t>Sobreseimiento</w:t>
      </w:r>
      <w:r w:rsidR="00FB273B" w:rsidRPr="00C97FE6">
        <w:rPr>
          <w:rFonts w:ascii="Arial" w:hAnsi="Arial" w:cs="Arial"/>
          <w:b/>
        </w:rPr>
        <w:t>.</w:t>
      </w:r>
    </w:p>
    <w:p w14:paraId="5F54EF99" w14:textId="7871A49C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  <w:i/>
        </w:rPr>
      </w:pPr>
      <w:r w:rsidRPr="00C97FE6">
        <w:rPr>
          <w:rFonts w:ascii="Arial" w:hAnsi="Arial" w:cs="Arial"/>
          <w:iCs/>
        </w:rPr>
        <w:t xml:space="preserve">Artículo 63. </w:t>
      </w:r>
    </w:p>
    <w:p w14:paraId="5878A80F" w14:textId="3085CC0A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  <w:i/>
        </w:rPr>
      </w:pPr>
      <w:r w:rsidRPr="00C97FE6">
        <w:rPr>
          <w:rFonts w:ascii="Arial" w:hAnsi="Arial" w:cs="Arial"/>
          <w:iCs/>
        </w:rPr>
        <w:t xml:space="preserve">Artículo 64. </w:t>
      </w:r>
    </w:p>
    <w:p w14:paraId="3BE9AF32" w14:textId="55DE2467" w:rsidR="003872FD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  <w:i/>
        </w:rPr>
      </w:pPr>
      <w:r w:rsidRPr="00C97FE6">
        <w:rPr>
          <w:rFonts w:ascii="Arial" w:hAnsi="Arial" w:cs="Arial"/>
          <w:iCs/>
        </w:rPr>
        <w:t xml:space="preserve">Artículo 65. </w:t>
      </w:r>
    </w:p>
    <w:p w14:paraId="48CA0D5F" w14:textId="77777777" w:rsidR="003872FD" w:rsidRPr="00C97FE6" w:rsidRDefault="003872FD" w:rsidP="008E5C2E">
      <w:pPr>
        <w:ind w:left="102"/>
        <w:rPr>
          <w:rFonts w:ascii="Arial" w:hAnsi="Arial" w:cs="Arial"/>
        </w:rPr>
      </w:pPr>
    </w:p>
    <w:p w14:paraId="54E2B09E" w14:textId="77777777" w:rsidR="00FB273B" w:rsidRPr="00C97FE6" w:rsidRDefault="00C43723" w:rsidP="00FB273B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C97FE6">
        <w:rPr>
          <w:rFonts w:ascii="Arial" w:hAnsi="Arial" w:cs="Arial"/>
          <w:b/>
          <w:highlight w:val="lightGray"/>
        </w:rPr>
        <w:t>Sentencias</w:t>
      </w:r>
      <w:r w:rsidR="00FB273B" w:rsidRPr="00C97FE6">
        <w:rPr>
          <w:rFonts w:ascii="Arial" w:hAnsi="Arial" w:cs="Arial"/>
          <w:b/>
          <w:highlight w:val="lightGray"/>
        </w:rPr>
        <w:t>.</w:t>
      </w:r>
    </w:p>
    <w:p w14:paraId="4E8D6231" w14:textId="0D5B1BA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 xml:space="preserve">Artículo 73. </w:t>
      </w:r>
    </w:p>
    <w:p w14:paraId="291D2E46" w14:textId="47CB2D54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74.</w:t>
      </w:r>
    </w:p>
    <w:p w14:paraId="455CF591" w14:textId="2972D3DB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75.</w:t>
      </w:r>
    </w:p>
    <w:p w14:paraId="7818D68E" w14:textId="7E37F96A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76.</w:t>
      </w:r>
    </w:p>
    <w:p w14:paraId="59C09B74" w14:textId="72FC6739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77.</w:t>
      </w:r>
    </w:p>
    <w:p w14:paraId="617E6262" w14:textId="77777777" w:rsidR="00FB273B" w:rsidRPr="00C97FE6" w:rsidRDefault="00FB273B">
      <w:pPr>
        <w:rPr>
          <w:rFonts w:ascii="Arial" w:hAnsi="Arial" w:cs="Arial"/>
        </w:rPr>
      </w:pPr>
      <w:r w:rsidRPr="00C97FE6">
        <w:rPr>
          <w:rFonts w:ascii="Arial" w:hAnsi="Arial" w:cs="Arial"/>
        </w:rPr>
        <w:br w:type="page"/>
      </w:r>
    </w:p>
    <w:p w14:paraId="3BBE7ADE" w14:textId="1AD9BE4C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lastRenderedPageBreak/>
        <w:t>Artículo 78.</w:t>
      </w:r>
    </w:p>
    <w:p w14:paraId="054B3DBB" w14:textId="20A72D7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79.</w:t>
      </w:r>
    </w:p>
    <w:p w14:paraId="6D19448F" w14:textId="77777777" w:rsidR="00FB057A" w:rsidRPr="00C97FE6" w:rsidRDefault="00FB057A" w:rsidP="00FB057A">
      <w:pPr>
        <w:pStyle w:val="Prrafodelista"/>
        <w:ind w:left="867"/>
        <w:rPr>
          <w:rFonts w:ascii="Arial" w:hAnsi="Arial" w:cs="Arial"/>
          <w:iCs/>
        </w:rPr>
      </w:pPr>
    </w:p>
    <w:p w14:paraId="523FF368" w14:textId="408FBF25" w:rsidR="00FB273B" w:rsidRPr="00C97FE6" w:rsidRDefault="00C43723" w:rsidP="00FB273B">
      <w:pPr>
        <w:pStyle w:val="Prrafodelista"/>
        <w:numPr>
          <w:ilvl w:val="0"/>
          <w:numId w:val="2"/>
        </w:numPr>
        <w:rPr>
          <w:rFonts w:ascii="Arial" w:hAnsi="Arial" w:cs="Arial"/>
          <w:b/>
        </w:rPr>
      </w:pPr>
      <w:r w:rsidRPr="00C97FE6">
        <w:rPr>
          <w:rFonts w:ascii="Arial" w:hAnsi="Arial" w:cs="Arial"/>
          <w:b/>
          <w:highlight w:val="lightGray"/>
        </w:rPr>
        <w:t>Medios</w:t>
      </w:r>
      <w:r w:rsidRPr="00C97FE6">
        <w:rPr>
          <w:rFonts w:ascii="Arial" w:hAnsi="Arial" w:cs="Arial"/>
          <w:b/>
          <w:spacing w:val="-3"/>
          <w:highlight w:val="lightGray"/>
        </w:rPr>
        <w:t xml:space="preserve"> </w:t>
      </w:r>
      <w:r w:rsidRPr="00C97FE6">
        <w:rPr>
          <w:rFonts w:ascii="Arial" w:hAnsi="Arial" w:cs="Arial"/>
          <w:b/>
          <w:highlight w:val="lightGray"/>
        </w:rPr>
        <w:t>de</w:t>
      </w:r>
      <w:r w:rsidRPr="00C97FE6">
        <w:rPr>
          <w:rFonts w:ascii="Arial" w:hAnsi="Arial" w:cs="Arial"/>
          <w:b/>
          <w:spacing w:val="-3"/>
          <w:highlight w:val="lightGray"/>
        </w:rPr>
        <w:t xml:space="preserve"> </w:t>
      </w:r>
      <w:r w:rsidRPr="00C97FE6">
        <w:rPr>
          <w:rFonts w:ascii="Arial" w:hAnsi="Arial" w:cs="Arial"/>
          <w:b/>
          <w:highlight w:val="lightGray"/>
        </w:rPr>
        <w:t>Impugnación</w:t>
      </w:r>
      <w:r w:rsidR="000F4117" w:rsidRPr="00C97FE6">
        <w:rPr>
          <w:rFonts w:ascii="Arial" w:hAnsi="Arial" w:cs="Arial"/>
          <w:b/>
          <w:highlight w:val="lightGray"/>
        </w:rPr>
        <w:t>.</w:t>
      </w:r>
    </w:p>
    <w:p w14:paraId="07DA0A8C" w14:textId="77777777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80.</w:t>
      </w:r>
    </w:p>
    <w:p w14:paraId="313FBFB9" w14:textId="61043B46" w:rsidR="00FB273B" w:rsidRPr="00BB17D3" w:rsidRDefault="00AC5455" w:rsidP="00FB273B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97FE6">
        <w:rPr>
          <w:rFonts w:ascii="Arial" w:hAnsi="Arial" w:cs="Arial"/>
        </w:rPr>
        <w:t>Artículo</w:t>
      </w:r>
      <w:r w:rsidR="00E135C2" w:rsidRPr="00C97FE6">
        <w:rPr>
          <w:rFonts w:ascii="Arial" w:hAnsi="Arial" w:cs="Arial"/>
        </w:rPr>
        <w:t xml:space="preserve"> 80</w:t>
      </w:r>
      <w:r w:rsidR="00E135C2" w:rsidRPr="00BB17D3">
        <w:rPr>
          <w:rFonts w:ascii="Arial" w:hAnsi="Arial" w:cs="Arial"/>
          <w:sz w:val="24"/>
          <w:szCs w:val="24"/>
        </w:rPr>
        <w:t xml:space="preserve"> Bis. </w:t>
      </w:r>
      <w:r w:rsidR="00FB273B" w:rsidRPr="00BB17D3">
        <w:rPr>
          <w:rFonts w:ascii="Arial" w:hAnsi="Arial" w:cs="Arial"/>
          <w:sz w:val="24"/>
          <w:szCs w:val="24"/>
        </w:rPr>
        <w:t xml:space="preserve"> </w:t>
      </w:r>
    </w:p>
    <w:p w14:paraId="3B61C4A7" w14:textId="606E821C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81. </w:t>
      </w:r>
    </w:p>
    <w:p w14:paraId="441AC35F" w14:textId="442D3ADF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82. </w:t>
      </w:r>
    </w:p>
    <w:p w14:paraId="51C5F538" w14:textId="0CE3FE4A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83. </w:t>
      </w:r>
    </w:p>
    <w:p w14:paraId="325D39CA" w14:textId="6FB07AAB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84. </w:t>
      </w:r>
    </w:p>
    <w:p w14:paraId="3D7EC90F" w14:textId="31C03726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85. </w:t>
      </w:r>
    </w:p>
    <w:p w14:paraId="43F413A6" w14:textId="32E4DB4C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86. </w:t>
      </w:r>
    </w:p>
    <w:p w14:paraId="05A2A0EC" w14:textId="58CFB230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87. </w:t>
      </w:r>
    </w:p>
    <w:p w14:paraId="4B043A80" w14:textId="497E61F9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88. </w:t>
      </w:r>
    </w:p>
    <w:p w14:paraId="7C452640" w14:textId="528C5BF1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89. </w:t>
      </w:r>
    </w:p>
    <w:p w14:paraId="6DAFFED2" w14:textId="2EED33F6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90. </w:t>
      </w:r>
    </w:p>
    <w:p w14:paraId="5CEF3A3C" w14:textId="3B80D469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91. </w:t>
      </w:r>
    </w:p>
    <w:p w14:paraId="58619E07" w14:textId="5064D75B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92. </w:t>
      </w:r>
    </w:p>
    <w:p w14:paraId="47A6B040" w14:textId="10FCAC20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93. </w:t>
      </w:r>
    </w:p>
    <w:p w14:paraId="60C45A32" w14:textId="4482359E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94. </w:t>
      </w:r>
    </w:p>
    <w:p w14:paraId="67C50CEC" w14:textId="07B65B52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95. </w:t>
      </w:r>
    </w:p>
    <w:p w14:paraId="0D8DB4FF" w14:textId="11DB5BEB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96. </w:t>
      </w:r>
    </w:p>
    <w:p w14:paraId="10654666" w14:textId="6A637FA4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97. </w:t>
      </w:r>
    </w:p>
    <w:p w14:paraId="184A6D88" w14:textId="659CEA93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98. </w:t>
      </w:r>
    </w:p>
    <w:p w14:paraId="7A58AFE7" w14:textId="2F4F9E44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99. </w:t>
      </w:r>
    </w:p>
    <w:p w14:paraId="37612548" w14:textId="3A006B7F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100. </w:t>
      </w:r>
    </w:p>
    <w:p w14:paraId="5CA8C936" w14:textId="17F919A9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101. </w:t>
      </w:r>
    </w:p>
    <w:p w14:paraId="523BFCD3" w14:textId="7EE06C30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102. </w:t>
      </w:r>
    </w:p>
    <w:p w14:paraId="625F0D2E" w14:textId="54138E7E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103. </w:t>
      </w:r>
    </w:p>
    <w:p w14:paraId="73899871" w14:textId="1169F388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104. </w:t>
      </w:r>
    </w:p>
    <w:p w14:paraId="1179B680" w14:textId="12BD17D3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105. </w:t>
      </w:r>
    </w:p>
    <w:p w14:paraId="20861C80" w14:textId="6C5FEBEF" w:rsidR="004C76F4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Artículo </w:t>
      </w:r>
      <w:r w:rsidR="00C97FE6" w:rsidRPr="00BB17D3">
        <w:rPr>
          <w:rFonts w:ascii="Arial" w:hAnsi="Arial" w:cs="Arial"/>
          <w:sz w:val="24"/>
          <w:szCs w:val="24"/>
        </w:rPr>
        <w:t>106.</w:t>
      </w:r>
    </w:p>
    <w:p w14:paraId="32C94D8D" w14:textId="77777777" w:rsidR="004C76F4" w:rsidRPr="00BB17D3" w:rsidRDefault="004C76F4" w:rsidP="008E5C2E">
      <w:pPr>
        <w:ind w:left="102"/>
        <w:rPr>
          <w:rFonts w:ascii="Arial" w:hAnsi="Arial" w:cs="Arial"/>
          <w:sz w:val="24"/>
          <w:szCs w:val="24"/>
        </w:rPr>
      </w:pPr>
    </w:p>
    <w:p w14:paraId="5168181B" w14:textId="77777777" w:rsidR="00E135C2" w:rsidRPr="00BB17D3" w:rsidRDefault="00C43723" w:rsidP="00E135C2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t>El</w:t>
      </w:r>
      <w:r w:rsidRPr="00BB17D3">
        <w:rPr>
          <w:rFonts w:ascii="Arial" w:hAnsi="Arial" w:cs="Arial"/>
          <w:b/>
          <w:spacing w:val="-4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amparo</w:t>
      </w:r>
      <w:r w:rsidRPr="00BB17D3">
        <w:rPr>
          <w:rFonts w:ascii="Arial" w:hAnsi="Arial" w:cs="Arial"/>
          <w:b/>
          <w:spacing w:val="-2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indirecto</w:t>
      </w:r>
      <w:r w:rsidR="00E135C2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1B330019" w14:textId="77777777" w:rsidR="00E135C2" w:rsidRPr="00BB17D3" w:rsidRDefault="00AC5455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107</w:t>
      </w:r>
      <w:r w:rsidR="00E135C2" w:rsidRPr="00BB17D3">
        <w:rPr>
          <w:rFonts w:ascii="Arial" w:hAnsi="Arial" w:cs="Arial"/>
          <w:sz w:val="24"/>
          <w:szCs w:val="24"/>
        </w:rPr>
        <w:t>.</w:t>
      </w:r>
    </w:p>
    <w:p w14:paraId="68EB6DF5" w14:textId="2C5F9374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108.</w:t>
      </w:r>
    </w:p>
    <w:p w14:paraId="2AE64604" w14:textId="0176776B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109.</w:t>
      </w:r>
    </w:p>
    <w:p w14:paraId="0201B84A" w14:textId="1B5CB983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110.</w:t>
      </w:r>
    </w:p>
    <w:p w14:paraId="1707A91B" w14:textId="0504F46E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111.</w:t>
      </w:r>
    </w:p>
    <w:p w14:paraId="1BEF2976" w14:textId="6C5D9C84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112.</w:t>
      </w:r>
    </w:p>
    <w:p w14:paraId="58163184" w14:textId="338F487D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113.</w:t>
      </w:r>
    </w:p>
    <w:p w14:paraId="66767B3A" w14:textId="1E69B38D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114.</w:t>
      </w:r>
    </w:p>
    <w:p w14:paraId="6A625DF3" w14:textId="72957921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115.</w:t>
      </w:r>
    </w:p>
    <w:p w14:paraId="5ABB131C" w14:textId="305635A8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116.</w:t>
      </w:r>
    </w:p>
    <w:p w14:paraId="55D8FF39" w14:textId="3ED01D69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117.</w:t>
      </w:r>
    </w:p>
    <w:p w14:paraId="00C416B0" w14:textId="4CBBF8A2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118.</w:t>
      </w:r>
    </w:p>
    <w:p w14:paraId="7DA6FD67" w14:textId="0725FA95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119.</w:t>
      </w:r>
    </w:p>
    <w:p w14:paraId="4B24FE8A" w14:textId="77777777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120.</w:t>
      </w:r>
    </w:p>
    <w:p w14:paraId="6545D4DD" w14:textId="2D6536C7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lastRenderedPageBreak/>
        <w:t>Artículo 121.</w:t>
      </w:r>
    </w:p>
    <w:p w14:paraId="43040F3B" w14:textId="73C68AAC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122.</w:t>
      </w:r>
    </w:p>
    <w:p w14:paraId="0DC92852" w14:textId="2737FE36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123.</w:t>
      </w:r>
    </w:p>
    <w:p w14:paraId="791C9C1D" w14:textId="2D789DA8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124.</w:t>
      </w:r>
    </w:p>
    <w:p w14:paraId="599E0BEE" w14:textId="7D42A96A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125.</w:t>
      </w:r>
    </w:p>
    <w:p w14:paraId="1F3C8BFE" w14:textId="67676AC1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126.</w:t>
      </w:r>
    </w:p>
    <w:p w14:paraId="70D363A4" w14:textId="4D944751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127.</w:t>
      </w:r>
    </w:p>
    <w:p w14:paraId="78A278A5" w14:textId="0527D804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128.</w:t>
      </w:r>
    </w:p>
    <w:p w14:paraId="0BFB4BB4" w14:textId="0586C1BA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129.</w:t>
      </w:r>
    </w:p>
    <w:p w14:paraId="4293F24F" w14:textId="4E9868AC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130.</w:t>
      </w:r>
    </w:p>
    <w:p w14:paraId="06FF8212" w14:textId="6F3B30D2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131.</w:t>
      </w:r>
    </w:p>
    <w:p w14:paraId="132D8E7C" w14:textId="67BE8C75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132.</w:t>
      </w:r>
    </w:p>
    <w:p w14:paraId="55BFE963" w14:textId="11AF7937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133.</w:t>
      </w:r>
    </w:p>
    <w:p w14:paraId="3E69599A" w14:textId="460AAC1D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134.</w:t>
      </w:r>
    </w:p>
    <w:p w14:paraId="6A9F2C3B" w14:textId="2F491FE3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135.</w:t>
      </w:r>
    </w:p>
    <w:p w14:paraId="7770B19E" w14:textId="2BB8F205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136.</w:t>
      </w:r>
    </w:p>
    <w:p w14:paraId="395AE09A" w14:textId="5F67C451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137.</w:t>
      </w:r>
    </w:p>
    <w:p w14:paraId="6E67447E" w14:textId="69A386D6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138.</w:t>
      </w:r>
    </w:p>
    <w:p w14:paraId="0ABB79BB" w14:textId="4FD2FF4F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139.</w:t>
      </w:r>
    </w:p>
    <w:p w14:paraId="5539BA66" w14:textId="5473C0C8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140.</w:t>
      </w:r>
    </w:p>
    <w:p w14:paraId="5AD1C8E8" w14:textId="01B35AE4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141.</w:t>
      </w:r>
    </w:p>
    <w:p w14:paraId="3D155EFF" w14:textId="7B33F934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142.</w:t>
      </w:r>
    </w:p>
    <w:p w14:paraId="77EA39FF" w14:textId="537F183C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143.</w:t>
      </w:r>
    </w:p>
    <w:p w14:paraId="6FBFD1E9" w14:textId="646D491A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144.</w:t>
      </w:r>
    </w:p>
    <w:p w14:paraId="2CE4D59A" w14:textId="464E3B4D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145.</w:t>
      </w:r>
    </w:p>
    <w:p w14:paraId="61E33575" w14:textId="192DAB80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146.</w:t>
      </w:r>
    </w:p>
    <w:p w14:paraId="6486B267" w14:textId="3365BCB1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147.</w:t>
      </w:r>
    </w:p>
    <w:p w14:paraId="1E76FEA6" w14:textId="5BC913A9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148.</w:t>
      </w:r>
    </w:p>
    <w:p w14:paraId="5613E8FD" w14:textId="7F47EB9A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149.</w:t>
      </w:r>
    </w:p>
    <w:p w14:paraId="54DE2513" w14:textId="6B8FA235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150.</w:t>
      </w:r>
    </w:p>
    <w:p w14:paraId="688CE882" w14:textId="35D4E8CD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151.</w:t>
      </w:r>
    </w:p>
    <w:p w14:paraId="00C0BD84" w14:textId="18EAE402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152.</w:t>
      </w:r>
    </w:p>
    <w:p w14:paraId="7D331D3B" w14:textId="29E6F415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153.</w:t>
      </w:r>
    </w:p>
    <w:p w14:paraId="2CF56E0D" w14:textId="598102CD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154.</w:t>
      </w:r>
    </w:p>
    <w:p w14:paraId="5E8BB346" w14:textId="5DDE5A3E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155.</w:t>
      </w:r>
    </w:p>
    <w:p w14:paraId="30697A5E" w14:textId="5C01F495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156.</w:t>
      </w:r>
    </w:p>
    <w:p w14:paraId="59883E3D" w14:textId="1BF891FF" w:rsidR="00E135C2" w:rsidRPr="00BB17D3" w:rsidRDefault="00E135C2" w:rsidP="00E135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157.</w:t>
      </w:r>
    </w:p>
    <w:p w14:paraId="71385DAF" w14:textId="3CD16C62" w:rsidR="00AC5455" w:rsidRPr="00BB17D3" w:rsidRDefault="00E135C2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158.</w:t>
      </w:r>
    </w:p>
    <w:p w14:paraId="4937D21A" w14:textId="77777777" w:rsidR="00BE0025" w:rsidRPr="00BB17D3" w:rsidRDefault="00BE0025" w:rsidP="00BE0025">
      <w:pPr>
        <w:pStyle w:val="Prrafodelista"/>
        <w:ind w:left="689"/>
        <w:rPr>
          <w:rFonts w:ascii="Arial" w:hAnsi="Arial" w:cs="Arial"/>
          <w:b/>
          <w:sz w:val="24"/>
          <w:szCs w:val="24"/>
        </w:rPr>
      </w:pPr>
    </w:p>
    <w:p w14:paraId="11B02572" w14:textId="7D841BDD" w:rsidR="00AC5455" w:rsidRPr="00BB17D3" w:rsidRDefault="00C43723" w:rsidP="00AC54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t>El</w:t>
      </w:r>
      <w:r w:rsidRPr="00BB17D3">
        <w:rPr>
          <w:rFonts w:ascii="Arial" w:hAnsi="Arial" w:cs="Arial"/>
          <w:b/>
          <w:spacing w:val="-4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amparo</w:t>
      </w:r>
      <w:r w:rsidRPr="00BB17D3">
        <w:rPr>
          <w:rFonts w:ascii="Arial" w:hAnsi="Arial" w:cs="Arial"/>
          <w:b/>
          <w:spacing w:val="-2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directo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502DE71E" w14:textId="677351A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primera. Procedencia. </w:t>
      </w:r>
    </w:p>
    <w:p w14:paraId="021E8224" w14:textId="02D57E3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170.</w:t>
      </w:r>
    </w:p>
    <w:p w14:paraId="32D8D38C" w14:textId="40AF0E4C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171.</w:t>
      </w:r>
    </w:p>
    <w:p w14:paraId="43385E8D" w14:textId="090EEBF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172.</w:t>
      </w:r>
    </w:p>
    <w:p w14:paraId="77F447FE" w14:textId="5593D63F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segunda. Demanda.  </w:t>
      </w:r>
    </w:p>
    <w:p w14:paraId="530E0EAB" w14:textId="37EAD1BF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175.</w:t>
      </w:r>
    </w:p>
    <w:p w14:paraId="50A2B4F4" w14:textId="3C1902E6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176.</w:t>
      </w:r>
    </w:p>
    <w:p w14:paraId="0D04D108" w14:textId="22A053B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177.</w:t>
      </w:r>
    </w:p>
    <w:p w14:paraId="0CD3D1F6" w14:textId="4FA209E1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lastRenderedPageBreak/>
        <w:t>Artículo 178.</w:t>
      </w:r>
    </w:p>
    <w:p w14:paraId="67B47C58" w14:textId="7777777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Sección Tercera. Substanciación.</w:t>
      </w:r>
    </w:p>
    <w:p w14:paraId="304E8D17" w14:textId="76A6A80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179.</w:t>
      </w:r>
    </w:p>
    <w:p w14:paraId="7C760186" w14:textId="77915CB3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180.</w:t>
      </w:r>
    </w:p>
    <w:p w14:paraId="1E9E33EB" w14:textId="6EF7A238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181.</w:t>
      </w:r>
    </w:p>
    <w:p w14:paraId="363A7FA2" w14:textId="6F5745F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182.</w:t>
      </w:r>
    </w:p>
    <w:p w14:paraId="7D3F4BB4" w14:textId="32120796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183.</w:t>
      </w:r>
    </w:p>
    <w:p w14:paraId="0A91ECE6" w14:textId="64C3F307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184.</w:t>
      </w:r>
    </w:p>
    <w:p w14:paraId="1B39E4A3" w14:textId="1821D10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185.</w:t>
      </w:r>
    </w:p>
    <w:p w14:paraId="1704F3B8" w14:textId="4B0B9F3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186.</w:t>
      </w:r>
    </w:p>
    <w:p w14:paraId="34069DA8" w14:textId="1A064FE3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187.</w:t>
      </w:r>
    </w:p>
    <w:p w14:paraId="7CDAF844" w14:textId="76F89EE9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188.</w:t>
      </w:r>
    </w:p>
    <w:p w14:paraId="7773386B" w14:textId="71565920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189.</w:t>
      </w:r>
    </w:p>
    <w:p w14:paraId="0584C25B" w14:textId="4FE1BE05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Sección Cuarta. Suspensión del Acto Reclamado.</w:t>
      </w:r>
    </w:p>
    <w:p w14:paraId="1E371698" w14:textId="77777777" w:rsidR="00BE0025" w:rsidRPr="00BB17D3" w:rsidRDefault="00AC5455" w:rsidP="00BE0025">
      <w:pPr>
        <w:pStyle w:val="Prrafodelista"/>
        <w:numPr>
          <w:ilvl w:val="2"/>
          <w:numId w:val="2"/>
        </w:numPr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</w:t>
      </w:r>
      <w:r w:rsidR="00BE0025" w:rsidRPr="00BB17D3">
        <w:rPr>
          <w:rFonts w:ascii="Arial" w:hAnsi="Arial" w:cs="Arial"/>
          <w:sz w:val="24"/>
          <w:szCs w:val="24"/>
        </w:rPr>
        <w:t xml:space="preserve"> 190.</w:t>
      </w:r>
    </w:p>
    <w:p w14:paraId="5CE0027B" w14:textId="426A843C" w:rsidR="00A0319B" w:rsidRPr="00BB17D3" w:rsidRDefault="00BE0025" w:rsidP="00BE0025">
      <w:pPr>
        <w:pStyle w:val="Prrafodelista"/>
        <w:ind w:left="1542"/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33E5FAD8" w14:textId="77777777" w:rsidR="00BE0025" w:rsidRPr="00BB17D3" w:rsidRDefault="00C43723" w:rsidP="00BE002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t>Cumplimiento</w:t>
      </w:r>
      <w:r w:rsidRPr="00BB17D3">
        <w:rPr>
          <w:rFonts w:ascii="Arial" w:hAnsi="Arial" w:cs="Arial"/>
          <w:b/>
          <w:spacing w:val="-1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y</w:t>
      </w:r>
      <w:r w:rsidRPr="00BB17D3">
        <w:rPr>
          <w:rFonts w:ascii="Arial" w:hAnsi="Arial" w:cs="Arial"/>
          <w:b/>
          <w:spacing w:val="-3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ejecución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217E2934" w14:textId="7777777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Cumplimiento e inejecución.</w:t>
      </w:r>
    </w:p>
    <w:p w14:paraId="3B730E97" w14:textId="4D203F5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192.</w:t>
      </w:r>
    </w:p>
    <w:p w14:paraId="7578084D" w14:textId="64CBC64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193.</w:t>
      </w:r>
    </w:p>
    <w:p w14:paraId="32CE9D1E" w14:textId="786CA04D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194.</w:t>
      </w:r>
    </w:p>
    <w:p w14:paraId="3B6E6017" w14:textId="3E0D735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195.</w:t>
      </w:r>
    </w:p>
    <w:p w14:paraId="1469242E" w14:textId="14E90E93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196.</w:t>
      </w:r>
    </w:p>
    <w:p w14:paraId="209DB9AD" w14:textId="675402F8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197.</w:t>
      </w:r>
    </w:p>
    <w:p w14:paraId="5DE8E7D4" w14:textId="2E3785A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198.</w:t>
      </w:r>
    </w:p>
    <w:p w14:paraId="692A8DF2" w14:textId="21E92619" w:rsidR="00BE0025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Repetición del acto reclamado.</w:t>
      </w:r>
    </w:p>
    <w:p w14:paraId="168D39F0" w14:textId="340C99AC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199.</w:t>
      </w:r>
    </w:p>
    <w:p w14:paraId="62703B3E" w14:textId="0F5EEC75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200.</w:t>
      </w:r>
    </w:p>
    <w:p w14:paraId="0867619B" w14:textId="2BEF8724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Recurso de inconformidad. </w:t>
      </w:r>
    </w:p>
    <w:p w14:paraId="3336BFC3" w14:textId="34D67ED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201.</w:t>
      </w:r>
    </w:p>
    <w:p w14:paraId="58685969" w14:textId="131B2898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202.</w:t>
      </w:r>
    </w:p>
    <w:p w14:paraId="363AF300" w14:textId="22937AB9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203.</w:t>
      </w:r>
    </w:p>
    <w:p w14:paraId="4C7E874A" w14:textId="2D4DC785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de cumplimiento sustituto.</w:t>
      </w:r>
    </w:p>
    <w:p w14:paraId="1BEC055F" w14:textId="5C90036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204.</w:t>
      </w:r>
    </w:p>
    <w:p w14:paraId="1BDF3613" w14:textId="38AAFA40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205.</w:t>
      </w:r>
    </w:p>
    <w:p w14:paraId="56676A5D" w14:textId="1C280957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por exceso o defecto en el cumplimiento de la suspensión.</w:t>
      </w:r>
    </w:p>
    <w:p w14:paraId="763DFDA6" w14:textId="7180D57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206.</w:t>
      </w:r>
    </w:p>
    <w:p w14:paraId="5E6FD478" w14:textId="66A56BF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207.</w:t>
      </w:r>
    </w:p>
    <w:p w14:paraId="114A0D9D" w14:textId="033E204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208.</w:t>
      </w:r>
    </w:p>
    <w:p w14:paraId="6F504076" w14:textId="2E7096F4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209.</w:t>
      </w:r>
    </w:p>
    <w:p w14:paraId="6325E55E" w14:textId="305BED58" w:rsidR="00A0319B" w:rsidRPr="00BB17D3" w:rsidRDefault="00A0319B" w:rsidP="000F4117">
      <w:pPr>
        <w:pStyle w:val="Prrafodelista"/>
        <w:ind w:left="1542"/>
        <w:rPr>
          <w:rFonts w:ascii="Arial" w:hAnsi="Arial" w:cs="Arial"/>
          <w:b/>
          <w:sz w:val="24"/>
          <w:szCs w:val="24"/>
          <w:highlight w:val="lightGray"/>
        </w:rPr>
      </w:pPr>
    </w:p>
    <w:sectPr w:rsidR="00A0319B" w:rsidRPr="00BB17D3">
      <w:footerReference w:type="default" r:id="rId7"/>
      <w:type w:val="continuous"/>
      <w:pgSz w:w="12240" w:h="15840"/>
      <w:pgMar w:top="1340" w:right="162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308D" w14:textId="77777777" w:rsidR="00BE0025" w:rsidRDefault="00BE0025" w:rsidP="00C43723">
      <w:r>
        <w:separator/>
      </w:r>
    </w:p>
  </w:endnote>
  <w:endnote w:type="continuationSeparator" w:id="0">
    <w:p w14:paraId="0ABCE567" w14:textId="77777777" w:rsidR="00BE0025" w:rsidRDefault="00BE0025" w:rsidP="00C4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4755321"/>
      <w:docPartObj>
        <w:docPartGallery w:val="Page Numbers (Bottom of Page)"/>
        <w:docPartUnique/>
      </w:docPartObj>
    </w:sdtPr>
    <w:sdtEndPr/>
    <w:sdtContent>
      <w:p w14:paraId="69A47F68" w14:textId="228B3038" w:rsidR="00BE0025" w:rsidRDefault="00BE002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7D3">
          <w:rPr>
            <w:noProof/>
          </w:rPr>
          <w:t>1</w:t>
        </w:r>
        <w:r>
          <w:fldChar w:fldCharType="end"/>
        </w:r>
      </w:p>
    </w:sdtContent>
  </w:sdt>
  <w:p w14:paraId="79BBE226" w14:textId="77777777" w:rsidR="00BE0025" w:rsidRDefault="00BE00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8C2F4" w14:textId="77777777" w:rsidR="00BE0025" w:rsidRDefault="00BE0025" w:rsidP="00C43723">
      <w:r>
        <w:separator/>
      </w:r>
    </w:p>
  </w:footnote>
  <w:footnote w:type="continuationSeparator" w:id="0">
    <w:p w14:paraId="6E5A8309" w14:textId="77777777" w:rsidR="00BE0025" w:rsidRDefault="00BE0025" w:rsidP="00C4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27BF77C7"/>
    <w:multiLevelType w:val="multilevel"/>
    <w:tmpl w:val="854E6438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num w:numId="1" w16cid:durableId="249703643">
    <w:abstractNumId w:val="1"/>
  </w:num>
  <w:num w:numId="2" w16cid:durableId="971909479">
    <w:abstractNumId w:val="0"/>
  </w:num>
  <w:num w:numId="3" w16cid:durableId="590507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603"/>
    <w:rsid w:val="000C10A8"/>
    <w:rsid w:val="000C4FD8"/>
    <w:rsid w:val="000F4117"/>
    <w:rsid w:val="00100C25"/>
    <w:rsid w:val="001B295C"/>
    <w:rsid w:val="001E57CA"/>
    <w:rsid w:val="00231BA7"/>
    <w:rsid w:val="00295736"/>
    <w:rsid w:val="003872FD"/>
    <w:rsid w:val="003E53F6"/>
    <w:rsid w:val="004C76F4"/>
    <w:rsid w:val="00543CC0"/>
    <w:rsid w:val="00636603"/>
    <w:rsid w:val="00663276"/>
    <w:rsid w:val="0078196B"/>
    <w:rsid w:val="007B71CA"/>
    <w:rsid w:val="008E5C2E"/>
    <w:rsid w:val="009041EC"/>
    <w:rsid w:val="00A0319B"/>
    <w:rsid w:val="00A141BF"/>
    <w:rsid w:val="00AC5455"/>
    <w:rsid w:val="00AD0BE1"/>
    <w:rsid w:val="00B23BA6"/>
    <w:rsid w:val="00B26C97"/>
    <w:rsid w:val="00B52BF8"/>
    <w:rsid w:val="00BB17D3"/>
    <w:rsid w:val="00BD79C6"/>
    <w:rsid w:val="00BE0025"/>
    <w:rsid w:val="00C43723"/>
    <w:rsid w:val="00C530F3"/>
    <w:rsid w:val="00C97FE6"/>
    <w:rsid w:val="00CB6D3E"/>
    <w:rsid w:val="00D22589"/>
    <w:rsid w:val="00E135C2"/>
    <w:rsid w:val="00E9688D"/>
    <w:rsid w:val="00EE32D6"/>
    <w:rsid w:val="00F230AC"/>
    <w:rsid w:val="00FB057A"/>
    <w:rsid w:val="00FB273B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53A2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3723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723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0C10A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52BF8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1CA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548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Silvia Lara Medina</cp:lastModifiedBy>
  <cp:revision>11</cp:revision>
  <cp:lastPrinted>2022-04-25T19:02:00Z</cp:lastPrinted>
  <dcterms:created xsi:type="dcterms:W3CDTF">2022-05-02T23:09:00Z</dcterms:created>
  <dcterms:modified xsi:type="dcterms:W3CDTF">2022-05-05T18:10:00Z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