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A4CD4" w14:textId="77777777" w:rsidR="00094A51" w:rsidRPr="00AB0F73" w:rsidRDefault="00094A51" w:rsidP="00094A5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 w:rsidRPr="00AB0F73">
        <w:rPr>
          <w:rFonts w:ascii="Arial" w:hAnsi="Arial" w:cs="Arial"/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7F58AFEF" w14:textId="77777777" w:rsidR="00B21ADD" w:rsidRPr="00AB0F73" w:rsidRDefault="00B21ADD" w:rsidP="007A3BEF">
      <w:pPr>
        <w:pStyle w:val="Textoindependiente"/>
        <w:spacing w:before="1" w:line="240" w:lineRule="auto"/>
        <w:ind w:left="0" w:firstLine="0"/>
        <w:rPr>
          <w:rFonts w:ascii="Arial" w:hAnsi="Arial" w:cs="Arial"/>
          <w:i/>
          <w:sz w:val="24"/>
          <w:szCs w:val="24"/>
        </w:rPr>
      </w:pPr>
    </w:p>
    <w:p w14:paraId="660567BE" w14:textId="732B66F9" w:rsidR="00B21ADD" w:rsidRPr="00D56416" w:rsidRDefault="00B21ADD" w:rsidP="00D56416">
      <w:pPr>
        <w:tabs>
          <w:tab w:val="left" w:pos="9011"/>
        </w:tabs>
        <w:ind w:left="113"/>
        <w:jc w:val="both"/>
        <w:rPr>
          <w:rFonts w:ascii="Arial" w:hAnsi="Arial" w:cs="Arial"/>
          <w:b/>
          <w:sz w:val="24"/>
          <w:szCs w:val="24"/>
        </w:rPr>
      </w:pPr>
      <w:r w:rsidRPr="00D56416">
        <w:rPr>
          <w:rFonts w:ascii="Arial" w:hAnsi="Arial" w:cs="Arial"/>
          <w:b/>
          <w:sz w:val="24"/>
          <w:szCs w:val="24"/>
          <w:highlight w:val="lightGray"/>
        </w:rPr>
        <w:t>LEY DE TRANSPARENCIA Y ACCESO A LA INFORMACIÓN PÚBLICA DEL ESTADO</w:t>
      </w:r>
      <w:r w:rsidR="00D56416" w:rsidRPr="00D56416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D56416">
        <w:rPr>
          <w:rFonts w:ascii="Arial" w:hAnsi="Arial" w:cs="Arial"/>
          <w:b/>
          <w:sz w:val="24"/>
          <w:szCs w:val="24"/>
          <w:highlight w:val="lightGray"/>
        </w:rPr>
        <w:t>DE YUCATÁN y la LEY GENERAL DE TRANSPARENCIA Y ACCESO A LA</w:t>
      </w:r>
      <w:r w:rsidR="00D56416" w:rsidRPr="00D56416">
        <w:rPr>
          <w:rFonts w:ascii="Arial" w:hAnsi="Arial" w:cs="Arial"/>
          <w:b/>
          <w:sz w:val="24"/>
          <w:szCs w:val="24"/>
          <w:highlight w:val="lightGray"/>
        </w:rPr>
        <w:t xml:space="preserve"> </w:t>
      </w:r>
      <w:r w:rsidRPr="00D56416">
        <w:rPr>
          <w:rFonts w:ascii="Arial" w:hAnsi="Arial" w:cs="Arial"/>
          <w:b/>
          <w:sz w:val="24"/>
          <w:szCs w:val="24"/>
          <w:highlight w:val="lightGray"/>
        </w:rPr>
        <w:t>INFORMACIÓN PÚBLICAS en los temas que la ley estatal remita.</w:t>
      </w:r>
    </w:p>
    <w:p w14:paraId="1A7E15E1" w14:textId="77777777" w:rsidR="007A3BEF" w:rsidRPr="00AB0F73" w:rsidRDefault="007A3BEF" w:rsidP="007A3BEF">
      <w:pPr>
        <w:pStyle w:val="Textoindependiente"/>
        <w:spacing w:before="2" w:line="240" w:lineRule="auto"/>
        <w:ind w:left="0" w:firstLine="0"/>
        <w:rPr>
          <w:rFonts w:ascii="Arial" w:hAnsi="Arial" w:cs="Arial"/>
          <w:b/>
          <w:i/>
          <w:sz w:val="24"/>
          <w:szCs w:val="24"/>
        </w:rPr>
      </w:pPr>
    </w:p>
    <w:p w14:paraId="721A0C83" w14:textId="77C98346" w:rsidR="007A3BEF" w:rsidRPr="00AB0F73" w:rsidRDefault="009271A2" w:rsidP="007A3BEF">
      <w:pPr>
        <w:pStyle w:val="Textoindependiente"/>
        <w:spacing w:before="56" w:line="240" w:lineRule="auto"/>
        <w:ind w:left="142" w:firstLine="0"/>
        <w:rPr>
          <w:rFonts w:ascii="Arial" w:hAnsi="Arial" w:cs="Arial"/>
          <w:sz w:val="24"/>
          <w:szCs w:val="24"/>
        </w:rPr>
      </w:pPr>
      <w:r w:rsidRPr="00AB18E3">
        <w:rPr>
          <w:rFonts w:ascii="Arial" w:hAnsi="Arial" w:cs="Arial"/>
          <w:sz w:val="24"/>
          <w:szCs w:val="24"/>
        </w:rPr>
        <w:t>https://www.poderjudicialyucatan.gob.mx/digestum/marcoLegal/02/2016/DIGESTUM02338.pdf</w:t>
      </w:r>
      <w:r w:rsidRPr="00AB0F73">
        <w:rPr>
          <w:rFonts w:ascii="Arial" w:hAnsi="Arial" w:cs="Arial"/>
          <w:sz w:val="24"/>
          <w:szCs w:val="24"/>
        </w:rPr>
        <w:t xml:space="preserve"> </w:t>
      </w:r>
    </w:p>
    <w:p w14:paraId="6C5EEB22" w14:textId="77777777" w:rsidR="007A3BEF" w:rsidRPr="00AB0F73" w:rsidRDefault="007A3BEF" w:rsidP="007A3BEF">
      <w:pPr>
        <w:pStyle w:val="Textoindependiente"/>
        <w:spacing w:before="5" w:line="240" w:lineRule="auto"/>
        <w:ind w:left="0" w:firstLine="0"/>
        <w:rPr>
          <w:rFonts w:ascii="Arial" w:hAnsi="Arial" w:cs="Arial"/>
          <w:sz w:val="24"/>
          <w:szCs w:val="24"/>
        </w:rPr>
      </w:pPr>
    </w:p>
    <w:p w14:paraId="106F66C6" w14:textId="7DDCEB99" w:rsidR="007A3BEF" w:rsidRPr="00AB0F73" w:rsidRDefault="009271A2" w:rsidP="007A3BEF">
      <w:pPr>
        <w:pStyle w:val="Textoindependiente"/>
        <w:spacing w:before="57" w:line="240" w:lineRule="auto"/>
        <w:ind w:left="142" w:firstLine="0"/>
        <w:rPr>
          <w:rFonts w:ascii="Arial" w:hAnsi="Arial" w:cs="Arial"/>
          <w:sz w:val="24"/>
          <w:szCs w:val="24"/>
        </w:rPr>
      </w:pPr>
      <w:r w:rsidRPr="00AB18E3">
        <w:rPr>
          <w:rFonts w:ascii="Arial" w:hAnsi="Arial" w:cs="Arial"/>
          <w:sz w:val="24"/>
          <w:szCs w:val="24"/>
        </w:rPr>
        <w:t>https://www.poderjudicialyucatan.gob.mx/digestum/marcoLegal/02/2016/DIGESTUM02337.pdf</w:t>
      </w:r>
      <w:r w:rsidRPr="00AB0F73">
        <w:rPr>
          <w:rFonts w:ascii="Arial" w:hAnsi="Arial" w:cs="Arial"/>
          <w:sz w:val="24"/>
          <w:szCs w:val="24"/>
        </w:rPr>
        <w:t xml:space="preserve"> </w:t>
      </w:r>
    </w:p>
    <w:p w14:paraId="1CC6714E" w14:textId="77777777" w:rsidR="007A3BEF" w:rsidRPr="00AB0F73" w:rsidRDefault="007A3BEF" w:rsidP="007A3BEF">
      <w:pPr>
        <w:pStyle w:val="Textoindependiente"/>
        <w:spacing w:line="240" w:lineRule="auto"/>
        <w:ind w:left="0" w:firstLine="0"/>
        <w:rPr>
          <w:rFonts w:ascii="Arial" w:hAnsi="Arial" w:cs="Arial"/>
          <w:sz w:val="24"/>
          <w:szCs w:val="24"/>
        </w:rPr>
      </w:pPr>
    </w:p>
    <w:p w14:paraId="03F579BB" w14:textId="77777777" w:rsidR="007A3BEF" w:rsidRPr="00AB0F73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AB0F73"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AB0F73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Artículo 1. </w:t>
      </w:r>
      <w:r w:rsidR="007A3BEF" w:rsidRPr="00AB0F73">
        <w:rPr>
          <w:rFonts w:ascii="Arial" w:hAnsi="Arial" w:cs="Arial"/>
          <w:sz w:val="24"/>
          <w:szCs w:val="24"/>
        </w:rPr>
        <w:t>Objeto</w:t>
      </w:r>
      <w:r w:rsidR="003C7E09" w:rsidRPr="00AB0F73">
        <w:rPr>
          <w:rFonts w:ascii="Arial" w:hAnsi="Arial" w:cs="Arial"/>
          <w:sz w:val="24"/>
          <w:szCs w:val="24"/>
        </w:rPr>
        <w:t>.</w:t>
      </w:r>
    </w:p>
    <w:p w14:paraId="23BEE92D" w14:textId="77777777" w:rsidR="00E448E9" w:rsidRPr="00AB0F73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Artículo 2. Definiciones. </w:t>
      </w:r>
    </w:p>
    <w:p w14:paraId="6E0437CA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Artículo 3. Aplicación. </w:t>
      </w:r>
    </w:p>
    <w:p w14:paraId="32DD356C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4. Derecho de acceso a la información.</w:t>
      </w:r>
    </w:p>
    <w:p w14:paraId="6B573F95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5. Imposibilidad de clasificación.</w:t>
      </w:r>
    </w:p>
    <w:p w14:paraId="0D2F1EAF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6. Acceso efectivo a la información.</w:t>
      </w:r>
    </w:p>
    <w:p w14:paraId="63B8D43F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7. Principios.</w:t>
      </w:r>
    </w:p>
    <w:p w14:paraId="44B36953" w14:textId="77777777" w:rsidR="009B2173" w:rsidRPr="00AB0F73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8. Supletoriedad.</w:t>
      </w:r>
    </w:p>
    <w:p w14:paraId="31DC7955" w14:textId="77777777" w:rsidR="00D4122C" w:rsidRPr="00AB0F73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9. Interpretación.</w:t>
      </w:r>
    </w:p>
    <w:p w14:paraId="72278618" w14:textId="77777777" w:rsidR="009B2173" w:rsidRPr="00AB0F73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AB0F73">
        <w:rPr>
          <w:rFonts w:ascii="Arial" w:hAnsi="Arial" w:cs="Arial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AB0F73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Disposiciones generales.</w:t>
      </w:r>
    </w:p>
    <w:p w14:paraId="30AF129E" w14:textId="77777777" w:rsidR="00D4122C" w:rsidRPr="00AB0F73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Artículo 49. Sujetos obligados. </w:t>
      </w:r>
    </w:p>
    <w:p w14:paraId="476A16EF" w14:textId="77777777" w:rsidR="003C7E09" w:rsidRPr="00AB0F73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50. Obligaciones de los sujetos obligados.</w:t>
      </w:r>
    </w:p>
    <w:p w14:paraId="4BFE9901" w14:textId="77777777" w:rsidR="003C7E09" w:rsidRPr="00AB0F73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51. Cumplimiento de obligaciones.</w:t>
      </w:r>
    </w:p>
    <w:p w14:paraId="01408E77" w14:textId="77777777" w:rsidR="003C7E09" w:rsidRPr="00AB0F73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52. Obligación de documentar.</w:t>
      </w:r>
    </w:p>
    <w:p w14:paraId="24A60934" w14:textId="77777777" w:rsidR="00892112" w:rsidRPr="00AB0F73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53. Negativa o inexistencia de la información.</w:t>
      </w:r>
    </w:p>
    <w:p w14:paraId="10BBDC8C" w14:textId="77777777" w:rsidR="00892112" w:rsidRPr="00AB0F73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Comités de transparencia. </w:t>
      </w:r>
    </w:p>
    <w:p w14:paraId="12089EDF" w14:textId="77777777" w:rsidR="00D4122C" w:rsidRPr="00AB0F73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54. Objeto.</w:t>
      </w:r>
    </w:p>
    <w:p w14:paraId="6FC38F16" w14:textId="77777777" w:rsidR="006D609D" w:rsidRPr="00AB0F73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55. Funciones.</w:t>
      </w:r>
    </w:p>
    <w:p w14:paraId="3C553EC8" w14:textId="77777777" w:rsidR="006D609D" w:rsidRPr="00AB0F73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56. Integración.</w:t>
      </w:r>
    </w:p>
    <w:p w14:paraId="2D566396" w14:textId="77777777" w:rsidR="006D609D" w:rsidRPr="00AB0F73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57. Funcionamiento.</w:t>
      </w:r>
    </w:p>
    <w:p w14:paraId="66373EAB" w14:textId="77777777" w:rsidR="006D609D" w:rsidRPr="00AB0F73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58. Acceso a información para su clasificación.</w:t>
      </w:r>
    </w:p>
    <w:p w14:paraId="706C0367" w14:textId="77777777" w:rsidR="006D609D" w:rsidRPr="00AB0F73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Unidades de transparencia.</w:t>
      </w:r>
    </w:p>
    <w:p w14:paraId="7ACB8C16" w14:textId="77777777" w:rsidR="004448A3" w:rsidRPr="00AB0F7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59. Objeto.</w:t>
      </w:r>
    </w:p>
    <w:p w14:paraId="6DCA29FE" w14:textId="77777777" w:rsidR="007A3BEF" w:rsidRPr="00AB0F7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60. Atribuciones.</w:t>
      </w:r>
    </w:p>
    <w:p w14:paraId="7FB9D4CE" w14:textId="77777777" w:rsidR="004448A3" w:rsidRPr="00AB0F7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61. Obligación de colaborar.</w:t>
      </w:r>
    </w:p>
    <w:p w14:paraId="1725D375" w14:textId="77777777" w:rsidR="004448A3" w:rsidRPr="00AB0F7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62. Unidad administrativa preferente.</w:t>
      </w:r>
    </w:p>
    <w:p w14:paraId="212DE348" w14:textId="77777777" w:rsidR="007A3BEF" w:rsidRPr="00AB0F73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AB0F73">
        <w:rPr>
          <w:rFonts w:ascii="Arial" w:hAnsi="Arial" w:cs="Arial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AB0F73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Disposiciones</w:t>
      </w:r>
      <w:r w:rsidRPr="00AB0F73">
        <w:rPr>
          <w:rFonts w:ascii="Arial" w:hAnsi="Arial" w:cs="Arial"/>
          <w:spacing w:val="-2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Generales</w:t>
      </w:r>
      <w:r w:rsidR="005141AA" w:rsidRPr="00AB0F73">
        <w:rPr>
          <w:rFonts w:ascii="Arial" w:hAnsi="Arial" w:cs="Arial"/>
          <w:sz w:val="24"/>
          <w:szCs w:val="24"/>
        </w:rPr>
        <w:t>.</w:t>
      </w:r>
    </w:p>
    <w:p w14:paraId="3CCDBA83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63. Información.</w:t>
      </w:r>
    </w:p>
    <w:p w14:paraId="3B790364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64. Características de la información.</w:t>
      </w:r>
    </w:p>
    <w:p w14:paraId="2C83D7F7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65. Ajustes razonables y medidas de inclusión social.</w:t>
      </w:r>
    </w:p>
    <w:p w14:paraId="5900E0E4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66. Publicación de la información en internet.</w:t>
      </w:r>
    </w:p>
    <w:p w14:paraId="11C07395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67. Actualización de la información.</w:t>
      </w:r>
    </w:p>
    <w:p w14:paraId="1F1ECC0F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lastRenderedPageBreak/>
        <w:t>Artículo 68. Verificación y denuncia de la información.</w:t>
      </w:r>
    </w:p>
    <w:p w14:paraId="7B872660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69. Consulta y difusión de la información.</w:t>
      </w:r>
    </w:p>
    <w:p w14:paraId="0AD8234B" w14:textId="77777777" w:rsidR="005141AA" w:rsidRPr="00AB0F73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70. No constituye propaganda gubernamental.</w:t>
      </w:r>
    </w:p>
    <w:p w14:paraId="20CEB5D0" w14:textId="77777777" w:rsidR="00FE557C" w:rsidRPr="00AB0F73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71. Datos personales.</w:t>
      </w:r>
    </w:p>
    <w:p w14:paraId="35219D91" w14:textId="77777777" w:rsidR="007A3BEF" w:rsidRPr="00AB0F73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Información</w:t>
      </w:r>
      <w:r w:rsidRPr="00AB0F73">
        <w:rPr>
          <w:rFonts w:ascii="Arial" w:hAnsi="Arial" w:cs="Arial"/>
          <w:spacing w:val="-6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Obligatoria</w:t>
      </w:r>
      <w:r w:rsidR="004F04B1" w:rsidRPr="00AB0F73">
        <w:rPr>
          <w:rFonts w:ascii="Arial" w:hAnsi="Arial" w:cs="Arial"/>
          <w:sz w:val="24"/>
          <w:szCs w:val="24"/>
        </w:rPr>
        <w:t>.</w:t>
      </w:r>
    </w:p>
    <w:p w14:paraId="65A69592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72. Información obligatoria de los sujetos obligados.</w:t>
      </w:r>
    </w:p>
    <w:p w14:paraId="42C4F055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74. Procedimiento.</w:t>
      </w:r>
    </w:p>
    <w:p w14:paraId="23B039B0" w14:textId="77777777" w:rsidR="007A3BEF" w:rsidRPr="00AB0F73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Cumplimiento</w:t>
      </w:r>
      <w:r w:rsidRPr="00AB0F73">
        <w:rPr>
          <w:rFonts w:ascii="Arial" w:hAnsi="Arial" w:cs="Arial"/>
          <w:spacing w:val="-1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de</w:t>
      </w:r>
      <w:r w:rsidRPr="00AB0F73">
        <w:rPr>
          <w:rFonts w:ascii="Arial" w:hAnsi="Arial" w:cs="Arial"/>
          <w:spacing w:val="-3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las</w:t>
      </w:r>
      <w:r w:rsidRPr="00AB0F73">
        <w:rPr>
          <w:rFonts w:ascii="Arial" w:hAnsi="Arial" w:cs="Arial"/>
          <w:spacing w:val="-3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Obligaciones</w:t>
      </w:r>
      <w:r w:rsidRPr="00AB0F73">
        <w:rPr>
          <w:rFonts w:ascii="Arial" w:hAnsi="Arial" w:cs="Arial"/>
          <w:spacing w:val="-3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de</w:t>
      </w:r>
      <w:r w:rsidRPr="00AB0F73">
        <w:rPr>
          <w:rFonts w:ascii="Arial" w:hAnsi="Arial" w:cs="Arial"/>
          <w:spacing w:val="-3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Transparencia</w:t>
      </w:r>
      <w:r w:rsidR="004F04B1" w:rsidRPr="00AB0F73">
        <w:rPr>
          <w:rFonts w:ascii="Arial" w:hAnsi="Arial" w:cs="Arial"/>
          <w:sz w:val="24"/>
          <w:szCs w:val="24"/>
        </w:rPr>
        <w:t>.</w:t>
      </w:r>
    </w:p>
    <w:p w14:paraId="3AA1D65A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75. Requerimientos, recomendaciones u observaciones.</w:t>
      </w:r>
    </w:p>
    <w:p w14:paraId="6DA9041F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76. Verificación.</w:t>
      </w:r>
    </w:p>
    <w:p w14:paraId="081019C4" w14:textId="77777777" w:rsidR="004F04B1" w:rsidRPr="00AB0F73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77. Denuncia por incumplimiento.</w:t>
      </w:r>
    </w:p>
    <w:p w14:paraId="6CB93B75" w14:textId="77777777" w:rsidR="004F04B1" w:rsidRPr="00AB0F73" w:rsidRDefault="004F04B1" w:rsidP="004F04B1">
      <w:pPr>
        <w:pStyle w:val="Prrafodelista"/>
        <w:numPr>
          <w:ilvl w:val="0"/>
          <w:numId w:val="1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AB0F73">
        <w:rPr>
          <w:rFonts w:ascii="Arial" w:hAnsi="Arial" w:cs="Arial"/>
          <w:b/>
          <w:sz w:val="24"/>
          <w:szCs w:val="24"/>
          <w:highlight w:val="lightGray"/>
        </w:rPr>
        <w:t>CLASIFICACIÓN DE LA INFORMACIÓN.</w:t>
      </w:r>
    </w:p>
    <w:p w14:paraId="192AEDBE" w14:textId="77777777" w:rsidR="009E2376" w:rsidRPr="00AB0F73" w:rsidRDefault="004F04B1" w:rsidP="009E2376">
      <w:pPr>
        <w:pStyle w:val="Prrafodelista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Artículo 78. Clasificación. </w:t>
      </w:r>
    </w:p>
    <w:p w14:paraId="1EEF5DC7" w14:textId="77777777" w:rsidR="007A3BEF" w:rsidRPr="00AB0F73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="Arial" w:hAnsi="Arial" w:cs="Arial"/>
          <w:b/>
          <w:sz w:val="24"/>
          <w:szCs w:val="24"/>
          <w:highlight w:val="lightGray"/>
        </w:rPr>
      </w:pPr>
      <w:r w:rsidRPr="00AB0F73">
        <w:rPr>
          <w:rFonts w:ascii="Arial" w:hAnsi="Arial" w:cs="Arial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AB0F73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Medidas</w:t>
      </w:r>
      <w:r w:rsidRPr="00AB0F73">
        <w:rPr>
          <w:rFonts w:ascii="Arial" w:hAnsi="Arial" w:cs="Arial"/>
          <w:spacing w:val="-1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de</w:t>
      </w:r>
      <w:r w:rsidRPr="00AB0F73">
        <w:rPr>
          <w:rFonts w:ascii="Arial" w:hAnsi="Arial" w:cs="Arial"/>
          <w:spacing w:val="-2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apremio</w:t>
      </w:r>
      <w:r w:rsidR="009E2376" w:rsidRPr="00AB0F73">
        <w:rPr>
          <w:rFonts w:ascii="Arial" w:hAnsi="Arial" w:cs="Arial"/>
          <w:sz w:val="24"/>
          <w:szCs w:val="24"/>
        </w:rPr>
        <w:t>.</w:t>
      </w:r>
    </w:p>
    <w:p w14:paraId="319FA2F3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87. Medidas de apremio.</w:t>
      </w:r>
    </w:p>
    <w:p w14:paraId="543B18CC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88. Criterios de calificación de medidas de apremio.</w:t>
      </w:r>
    </w:p>
    <w:p w14:paraId="7A331FC0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89. Publicidad del incumplimiento.</w:t>
      </w:r>
    </w:p>
    <w:p w14:paraId="1655FA32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90. Medida de apremio para el servidor público responsable.</w:t>
      </w:r>
    </w:p>
    <w:p w14:paraId="7B6C03F0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91. Medida de apremio para el superior jerárquico.</w:t>
      </w:r>
    </w:p>
    <w:p w14:paraId="79DFFBBB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92. Plazo para la aplicación de las medidas de apremio.</w:t>
      </w:r>
    </w:p>
    <w:p w14:paraId="20C9245B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93. Imposición de las medidas de apremio.</w:t>
      </w:r>
    </w:p>
    <w:p w14:paraId="5F846E6E" w14:textId="77777777" w:rsidR="009E2376" w:rsidRPr="00AB0F73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Artículo 94. Cobro de multas.</w:t>
      </w:r>
    </w:p>
    <w:p w14:paraId="768D54B7" w14:textId="77777777" w:rsidR="007A3BEF" w:rsidRPr="00AB0F73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Sanciones</w:t>
      </w:r>
      <w:r w:rsidR="009E2376" w:rsidRPr="00AB0F73">
        <w:rPr>
          <w:rFonts w:ascii="Arial" w:hAnsi="Arial" w:cs="Arial"/>
          <w:sz w:val="24"/>
          <w:szCs w:val="24"/>
        </w:rPr>
        <w:t>.</w:t>
      </w:r>
    </w:p>
    <w:p w14:paraId="26F7D9C2" w14:textId="77777777" w:rsidR="009271A2" w:rsidRPr="00AB0F73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Disposiciones generales.</w:t>
      </w:r>
    </w:p>
    <w:p w14:paraId="0D69A2E6" w14:textId="77777777" w:rsidR="009271A2" w:rsidRPr="00AB0F73" w:rsidRDefault="009271A2" w:rsidP="00B21ADD">
      <w:pPr>
        <w:tabs>
          <w:tab w:val="left" w:pos="1941"/>
          <w:tab w:val="left" w:pos="1942"/>
        </w:tabs>
        <w:ind w:left="1985" w:right="1191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ab/>
        <w:t xml:space="preserve">5.2.1.1 </w:t>
      </w:r>
      <w:r w:rsidR="009E2376" w:rsidRPr="00AB0F73">
        <w:rPr>
          <w:rFonts w:ascii="Arial" w:hAnsi="Arial" w:cs="Arial"/>
          <w:sz w:val="24"/>
          <w:szCs w:val="24"/>
        </w:rPr>
        <w:t>Artículo 96. Sanciones.</w:t>
      </w:r>
    </w:p>
    <w:p w14:paraId="289B069B" w14:textId="77777777" w:rsidR="009E2376" w:rsidRPr="00AB0F73" w:rsidRDefault="009271A2" w:rsidP="009271A2">
      <w:pPr>
        <w:tabs>
          <w:tab w:val="left" w:pos="1941"/>
          <w:tab w:val="left" w:pos="1942"/>
        </w:tabs>
        <w:ind w:left="2124" w:right="1193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 xml:space="preserve">5.2.1.2 </w:t>
      </w:r>
      <w:r w:rsidR="009E2376" w:rsidRPr="00AB0F73">
        <w:rPr>
          <w:rFonts w:ascii="Arial" w:hAnsi="Arial" w:cs="Arial"/>
          <w:sz w:val="24"/>
          <w:szCs w:val="24"/>
        </w:rPr>
        <w:t>Ar</w:t>
      </w:r>
      <w:r w:rsidRPr="00AB0F73">
        <w:rPr>
          <w:rFonts w:ascii="Arial" w:hAnsi="Arial" w:cs="Arial"/>
          <w:sz w:val="24"/>
          <w:szCs w:val="24"/>
        </w:rPr>
        <w:t xml:space="preserve">tículo 97. Independencia de las </w:t>
      </w:r>
      <w:r w:rsidR="009E2376" w:rsidRPr="00AB0F73">
        <w:rPr>
          <w:rFonts w:ascii="Arial" w:hAnsi="Arial" w:cs="Arial"/>
          <w:sz w:val="24"/>
          <w:szCs w:val="24"/>
        </w:rPr>
        <w:t>responsabilidades.</w:t>
      </w:r>
    </w:p>
    <w:p w14:paraId="5E5932DC" w14:textId="77777777" w:rsidR="009E2376" w:rsidRPr="00AB0F73" w:rsidRDefault="009271A2" w:rsidP="009271A2">
      <w:pPr>
        <w:tabs>
          <w:tab w:val="left" w:pos="1941"/>
          <w:tab w:val="left" w:pos="1942"/>
        </w:tabs>
        <w:ind w:right="1193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ab/>
      </w:r>
      <w:r w:rsidRPr="00AB0F73">
        <w:rPr>
          <w:rFonts w:ascii="Arial" w:hAnsi="Arial" w:cs="Arial"/>
          <w:sz w:val="24"/>
          <w:szCs w:val="24"/>
        </w:rPr>
        <w:tab/>
      </w:r>
      <w:r w:rsidRPr="00AB0F73">
        <w:rPr>
          <w:rFonts w:ascii="Arial" w:hAnsi="Arial" w:cs="Arial"/>
          <w:sz w:val="24"/>
          <w:szCs w:val="24"/>
        </w:rPr>
        <w:tab/>
        <w:t xml:space="preserve">5.2.1.3 </w:t>
      </w:r>
      <w:r w:rsidR="009E2376" w:rsidRPr="00AB0F73">
        <w:rPr>
          <w:rFonts w:ascii="Arial" w:hAnsi="Arial" w:cs="Arial"/>
          <w:sz w:val="24"/>
          <w:szCs w:val="24"/>
        </w:rPr>
        <w:t>Artículo 98. Competencia.</w:t>
      </w:r>
    </w:p>
    <w:p w14:paraId="1F0117DD" w14:textId="77777777" w:rsidR="009E2376" w:rsidRPr="00AB0F73" w:rsidRDefault="009271A2" w:rsidP="009271A2">
      <w:pPr>
        <w:tabs>
          <w:tab w:val="left" w:pos="1941"/>
          <w:tab w:val="left" w:pos="1942"/>
        </w:tabs>
        <w:ind w:right="1193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ab/>
      </w:r>
      <w:r w:rsidRPr="00AB0F73">
        <w:rPr>
          <w:rFonts w:ascii="Arial" w:hAnsi="Arial" w:cs="Arial"/>
          <w:sz w:val="24"/>
          <w:szCs w:val="24"/>
        </w:rPr>
        <w:tab/>
      </w:r>
      <w:r w:rsidRPr="00AB0F73">
        <w:rPr>
          <w:rFonts w:ascii="Arial" w:hAnsi="Arial" w:cs="Arial"/>
          <w:sz w:val="24"/>
          <w:szCs w:val="24"/>
        </w:rPr>
        <w:tab/>
        <w:t xml:space="preserve">5.2.1.4 </w:t>
      </w:r>
      <w:r w:rsidR="009E2376" w:rsidRPr="00AB0F73">
        <w:rPr>
          <w:rFonts w:ascii="Arial" w:hAnsi="Arial" w:cs="Arial"/>
          <w:sz w:val="24"/>
          <w:szCs w:val="24"/>
        </w:rPr>
        <w:t>Artículo 99. Vista.</w:t>
      </w:r>
    </w:p>
    <w:p w14:paraId="07FD2905" w14:textId="77777777" w:rsidR="007A3BEF" w:rsidRPr="00AB0F73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Responsabilidades de los Sujetos Obligados con Carácter de</w:t>
      </w:r>
      <w:r w:rsidRPr="00AB0F73">
        <w:rPr>
          <w:rFonts w:ascii="Arial" w:hAnsi="Arial" w:cs="Arial"/>
          <w:spacing w:val="-59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Servidores</w:t>
      </w:r>
      <w:r w:rsidRPr="00AB0F73">
        <w:rPr>
          <w:rFonts w:ascii="Arial" w:hAnsi="Arial" w:cs="Arial"/>
          <w:spacing w:val="-1"/>
          <w:sz w:val="24"/>
          <w:szCs w:val="24"/>
        </w:rPr>
        <w:t xml:space="preserve"> </w:t>
      </w:r>
      <w:r w:rsidRPr="00AB0F73">
        <w:rPr>
          <w:rFonts w:ascii="Arial" w:hAnsi="Arial" w:cs="Arial"/>
          <w:sz w:val="24"/>
          <w:szCs w:val="24"/>
        </w:rPr>
        <w:t>Público</w:t>
      </w:r>
      <w:r w:rsidR="009271A2" w:rsidRPr="00AB0F73">
        <w:rPr>
          <w:rFonts w:ascii="Arial" w:hAnsi="Arial" w:cs="Arial"/>
          <w:sz w:val="24"/>
          <w:szCs w:val="24"/>
        </w:rPr>
        <w:t>.</w:t>
      </w:r>
    </w:p>
    <w:p w14:paraId="161B4CFB" w14:textId="77777777" w:rsidR="009271A2" w:rsidRPr="00AB0F73" w:rsidRDefault="009271A2" w:rsidP="009271A2">
      <w:pPr>
        <w:tabs>
          <w:tab w:val="left" w:pos="1941"/>
          <w:tab w:val="left" w:pos="1942"/>
        </w:tabs>
        <w:ind w:left="2124" w:right="1193"/>
        <w:rPr>
          <w:rFonts w:ascii="Arial" w:hAnsi="Arial" w:cs="Arial"/>
          <w:sz w:val="24"/>
          <w:szCs w:val="24"/>
        </w:rPr>
      </w:pPr>
      <w:r w:rsidRPr="00AB0F73">
        <w:rPr>
          <w:rFonts w:ascii="Arial" w:hAnsi="Arial" w:cs="Arial"/>
          <w:sz w:val="24"/>
          <w:szCs w:val="24"/>
        </w:rPr>
        <w:t>5.2.2.1 Artículo 100. Responsabilidades de los servidores públicos.</w:t>
      </w:r>
    </w:p>
    <w:p w14:paraId="3064FA73" w14:textId="77777777" w:rsidR="0036448B" w:rsidRPr="00AB0F73" w:rsidRDefault="0036448B">
      <w:pPr>
        <w:rPr>
          <w:rFonts w:ascii="Arial" w:hAnsi="Arial" w:cs="Arial"/>
          <w:sz w:val="24"/>
          <w:szCs w:val="24"/>
        </w:rPr>
      </w:pPr>
    </w:p>
    <w:p w14:paraId="2CE8C946" w14:textId="77777777" w:rsidR="00672372" w:rsidRPr="00AB0F73" w:rsidRDefault="00672372">
      <w:pPr>
        <w:rPr>
          <w:rFonts w:ascii="Arial" w:hAnsi="Arial" w:cs="Arial"/>
          <w:sz w:val="24"/>
          <w:szCs w:val="24"/>
        </w:rPr>
      </w:pPr>
    </w:p>
    <w:p w14:paraId="797E3E72" w14:textId="77777777" w:rsidR="00672372" w:rsidRPr="00AB0F73" w:rsidRDefault="00672372">
      <w:pPr>
        <w:rPr>
          <w:rFonts w:ascii="Arial" w:hAnsi="Arial" w:cs="Arial"/>
          <w:sz w:val="24"/>
          <w:szCs w:val="24"/>
        </w:rPr>
      </w:pPr>
    </w:p>
    <w:sectPr w:rsidR="00672372" w:rsidRPr="00AB0F73" w:rsidSect="001E3CE9">
      <w:footerReference w:type="default" r:id="rId7"/>
      <w:pgSz w:w="12240" w:h="15840"/>
      <w:pgMar w:top="1340" w:right="1560" w:bottom="127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50648" w14:textId="77777777" w:rsidR="00A65ABE" w:rsidRDefault="00A65ABE" w:rsidP="00A65ABE">
      <w:r>
        <w:separator/>
      </w:r>
    </w:p>
  </w:endnote>
  <w:endnote w:type="continuationSeparator" w:id="0">
    <w:p w14:paraId="43D07ADF" w14:textId="77777777" w:rsidR="00A65ABE" w:rsidRDefault="00A65ABE" w:rsidP="00A6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66048"/>
      <w:docPartObj>
        <w:docPartGallery w:val="Page Numbers (Bottom of Page)"/>
        <w:docPartUnique/>
      </w:docPartObj>
    </w:sdtPr>
    <w:sdtEndPr/>
    <w:sdtContent>
      <w:p w14:paraId="2080D077" w14:textId="75169170" w:rsidR="00A65ABE" w:rsidRDefault="00A65AB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DD37453" w14:textId="77777777" w:rsidR="00A65ABE" w:rsidRDefault="00A65A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BA81" w14:textId="77777777" w:rsidR="00A65ABE" w:rsidRDefault="00A65ABE" w:rsidP="00A65ABE">
      <w:r>
        <w:separator/>
      </w:r>
    </w:p>
  </w:footnote>
  <w:footnote w:type="continuationSeparator" w:id="0">
    <w:p w14:paraId="547DAB56" w14:textId="77777777" w:rsidR="00A65ABE" w:rsidRDefault="00A65ABE" w:rsidP="00A65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 w16cid:durableId="1944150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3BEF"/>
    <w:rsid w:val="00026EF8"/>
    <w:rsid w:val="00094A51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72372"/>
    <w:rsid w:val="006D609D"/>
    <w:rsid w:val="007A3BEF"/>
    <w:rsid w:val="00892112"/>
    <w:rsid w:val="009271A2"/>
    <w:rsid w:val="009B2173"/>
    <w:rsid w:val="009E2376"/>
    <w:rsid w:val="00A65ABE"/>
    <w:rsid w:val="00AB0F73"/>
    <w:rsid w:val="00AB18E3"/>
    <w:rsid w:val="00B21ADD"/>
    <w:rsid w:val="00D4122C"/>
    <w:rsid w:val="00D56416"/>
    <w:rsid w:val="00E448E9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4830044-6ABF-463F-8E54-D6C4225D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65A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5AB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65AB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5ABE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485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12</cp:revision>
  <cp:lastPrinted>2022-05-05T18:27:00Z</cp:lastPrinted>
  <dcterms:created xsi:type="dcterms:W3CDTF">2022-04-28T14:46:00Z</dcterms:created>
  <dcterms:modified xsi:type="dcterms:W3CDTF">2022-05-05T18:27:00Z</dcterms:modified>
</cp:coreProperties>
</file>