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C6174" w14:textId="77777777" w:rsidR="005B34BF" w:rsidRPr="00C748C7" w:rsidRDefault="005B34BF" w:rsidP="005B34BF">
      <w:pPr>
        <w:ind w:right="500"/>
        <w:jc w:val="center"/>
        <w:rPr>
          <w:b/>
          <w:sz w:val="24"/>
          <w:szCs w:val="24"/>
        </w:rPr>
      </w:pPr>
      <w:r w:rsidRPr="00C748C7">
        <w:rPr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3F9E8042" w14:textId="2D90FA08" w:rsidR="00983C45" w:rsidRPr="005C530C" w:rsidRDefault="008A1A88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val="none"/>
        </w:rPr>
      </w:pPr>
      <w:r w:rsidRPr="005C530C">
        <w:rPr>
          <w:rFonts w:ascii="Arial" w:hAnsi="Arial" w:cs="Arial"/>
          <w:b/>
          <w:color w:val="0000FF"/>
          <w:sz w:val="24"/>
          <w:u w:val="none"/>
        </w:rPr>
        <w:t>https://www.poderjudicialyucatan.gob.mx/digestum/marcoLegal/02/2017/DIGESTUM02352.pdf</w:t>
      </w:r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12B8BA98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29B7B25" w14:textId="77777777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6. Presupuesto y estructura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170B6B35" w14:textId="1FCACAEB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D76D4B" w14:textId="523F66EE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9. Sesiones del sistema estatal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 w16cid:durableId="1113790870">
    <w:abstractNumId w:val="1"/>
  </w:num>
  <w:num w:numId="2" w16cid:durableId="1967858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45"/>
    <w:rsid w:val="00092045"/>
    <w:rsid w:val="00093861"/>
    <w:rsid w:val="00175F98"/>
    <w:rsid w:val="0037082B"/>
    <w:rsid w:val="005B34BF"/>
    <w:rsid w:val="005C530C"/>
    <w:rsid w:val="0060795D"/>
    <w:rsid w:val="008A1A88"/>
    <w:rsid w:val="008E1B34"/>
    <w:rsid w:val="00983C45"/>
    <w:rsid w:val="0099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3</cp:revision>
  <dcterms:created xsi:type="dcterms:W3CDTF">2022-05-04T19:01:00Z</dcterms:created>
  <dcterms:modified xsi:type="dcterms:W3CDTF">2022-05-05T18:28:00Z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